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79319EF7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Pr="00D82E74">
        <w:rPr>
          <w:rFonts w:ascii="Arial" w:hAnsi="Arial" w:cs="Arial"/>
          <w:sz w:val="22"/>
        </w:rPr>
        <w:tab/>
      </w:r>
      <w:r w:rsidR="00AE5716" w:rsidRPr="00AE5716">
        <w:rPr>
          <w:rFonts w:ascii="Arial" w:hAnsi="Arial" w:cs="Arial"/>
          <w:sz w:val="22"/>
        </w:rPr>
        <w:t>R2-190127</w:t>
      </w:r>
      <w:r w:rsidR="00533481">
        <w:rPr>
          <w:rFonts w:ascii="Arial" w:hAnsi="Arial" w:cs="Arial"/>
          <w:sz w:val="22"/>
        </w:rPr>
        <w:t>7</w:t>
      </w:r>
    </w:p>
    <w:p w14:paraId="312498EA" w14:textId="77777777" w:rsidR="0013686C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1" w:name="_Hlk533145091"/>
      <w:bookmarkEnd w:id="0"/>
      <w:r>
        <w:rPr>
          <w:rFonts w:ascii="Arial" w:hAnsi="Arial" w:cs="Arial"/>
          <w:sz w:val="22"/>
        </w:rPr>
        <w:t>Athens</w:t>
      </w:r>
      <w:bookmarkEnd w:id="1"/>
      <w:r>
        <w:rPr>
          <w:rFonts w:ascii="Arial" w:hAnsi="Arial" w:cs="Arial"/>
          <w:sz w:val="22"/>
        </w:rPr>
        <w:t>, Greece, 25 February -</w:t>
      </w:r>
      <w:r w:rsidRPr="00551C91">
        <w:rPr>
          <w:rFonts w:ascii="Arial" w:hAnsi="Arial" w:cs="Arial"/>
          <w:sz w:val="22"/>
        </w:rPr>
        <w:t xml:space="preserve"> 1 March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1CAB5082" w:rsidR="00120D47" w:rsidRPr="00521BFD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21BFD">
        <w:rPr>
          <w:rFonts w:ascii="Arial" w:hAnsi="Arial" w:cs="Arial"/>
          <w:sz w:val="22"/>
        </w:rPr>
        <w:t>Agenda Item:</w:t>
      </w:r>
      <w:r w:rsidRPr="00521BFD">
        <w:rPr>
          <w:rFonts w:ascii="Arial" w:hAnsi="Arial" w:cs="Arial"/>
          <w:sz w:val="22"/>
        </w:rPr>
        <w:tab/>
      </w:r>
      <w:r w:rsidR="00356249" w:rsidRPr="00356249">
        <w:rPr>
          <w:rFonts w:ascii="Arial" w:hAnsi="Arial" w:cs="Arial"/>
          <w:b w:val="0"/>
          <w:sz w:val="22"/>
        </w:rPr>
        <w:t>11.11.5 Power consumption reduction in RRM measurements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3630E9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521BFD" w:rsidRPr="00521BFD">
        <w:rPr>
          <w:rFonts w:ascii="Arial" w:hAnsi="Arial" w:cs="Arial"/>
          <w:b w:val="0"/>
          <w:bCs/>
          <w:sz w:val="22"/>
          <w:lang w:val="en-US"/>
        </w:rPr>
        <w:t>Relaxed R</w:t>
      </w:r>
      <w:r w:rsidR="000E16DA">
        <w:rPr>
          <w:rFonts w:ascii="Arial" w:hAnsi="Arial" w:cs="Arial"/>
          <w:b w:val="0"/>
          <w:bCs/>
          <w:sz w:val="22"/>
          <w:lang w:val="en-US"/>
        </w:rPr>
        <w:t>R</w:t>
      </w:r>
      <w:r w:rsidR="00521BFD" w:rsidRPr="00521BFD">
        <w:rPr>
          <w:rFonts w:ascii="Arial" w:hAnsi="Arial" w:cs="Arial"/>
          <w:b w:val="0"/>
          <w:bCs/>
          <w:sz w:val="22"/>
          <w:lang w:val="en-US"/>
        </w:rPr>
        <w:t>M measurements in Idle mode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D8AC3AA" w:rsidR="00120D47" w:rsidRDefault="004D10CC" w:rsidP="00120D47">
      <w:pPr>
        <w:pStyle w:val="Heading1"/>
      </w:pPr>
      <w:r>
        <w:t>Introduction</w:t>
      </w:r>
    </w:p>
    <w:p w14:paraId="7F815275" w14:textId="0809782E" w:rsidR="00BD4DEF" w:rsidRPr="00BD4DEF" w:rsidRDefault="00BD4DEF" w:rsidP="00BD4DEF">
      <w:pPr>
        <w:rPr>
          <w:lang w:val="en-GB" w:eastAsia="zh-CN"/>
        </w:rPr>
      </w:pPr>
      <w:r>
        <w:rPr>
          <w:lang w:val="en-GB" w:eastAsia="zh-CN"/>
        </w:rPr>
        <w:t xml:space="preserve">The main </w:t>
      </w:r>
      <w:r w:rsidR="00EF2EC8">
        <w:rPr>
          <w:lang w:val="en-GB" w:eastAsia="zh-CN"/>
        </w:rPr>
        <w:t xml:space="preserve">tasks of the UE in Idle mode is to monitor Paging and to perform RRM measurements </w:t>
      </w:r>
      <w:r w:rsidR="004D35AD">
        <w:rPr>
          <w:lang w:val="en-GB" w:eastAsia="zh-CN"/>
        </w:rPr>
        <w:t>for</w:t>
      </w:r>
      <w:r w:rsidR="00EF2EC8">
        <w:rPr>
          <w:lang w:val="en-GB" w:eastAsia="zh-CN"/>
        </w:rPr>
        <w:t xml:space="preserve"> Idle mode mobility, i.e. cell (re-)selection. </w:t>
      </w:r>
      <w:r w:rsidR="000C78E8">
        <w:rPr>
          <w:lang w:val="en-GB" w:eastAsia="zh-CN"/>
        </w:rPr>
        <w:t xml:space="preserve">In this contribution potential power saving enhancements related RRM measurements </w:t>
      </w:r>
      <w:r w:rsidR="00695846">
        <w:rPr>
          <w:lang w:val="en-GB" w:eastAsia="zh-CN"/>
        </w:rPr>
        <w:t xml:space="preserve">in Idle mode </w:t>
      </w:r>
      <w:r w:rsidR="000C78E8">
        <w:rPr>
          <w:lang w:val="en-GB" w:eastAsia="zh-CN"/>
        </w:rPr>
        <w:t xml:space="preserve">are discussed. </w:t>
      </w:r>
    </w:p>
    <w:p w14:paraId="6F8A1D5D" w14:textId="33F350A5" w:rsidR="004D10CC" w:rsidRDefault="004D10CC" w:rsidP="004D10CC">
      <w:pPr>
        <w:pStyle w:val="Heading1"/>
      </w:pPr>
      <w:bookmarkStart w:id="2" w:name="_Toc242573354"/>
      <w:r>
        <w:t>Background</w:t>
      </w:r>
    </w:p>
    <w:p w14:paraId="41ED117E" w14:textId="1C5A5352" w:rsidR="00D82FB5" w:rsidRPr="00D82FB5" w:rsidRDefault="00D82FB5" w:rsidP="00EA29F3">
      <w:pPr>
        <w:rPr>
          <w:b/>
          <w:u w:val="single"/>
          <w:lang w:eastAsia="ja-JP"/>
        </w:rPr>
      </w:pPr>
      <w:r w:rsidRPr="00D82FB5">
        <w:rPr>
          <w:b/>
          <w:u w:val="single"/>
          <w:lang w:eastAsia="ja-JP"/>
        </w:rPr>
        <w:t xml:space="preserve">Relaxed </w:t>
      </w:r>
      <w:r w:rsidR="00E47F6A">
        <w:rPr>
          <w:b/>
          <w:u w:val="single"/>
          <w:lang w:eastAsia="ja-JP"/>
        </w:rPr>
        <w:t>neighbour cell measurement rules in</w:t>
      </w:r>
      <w:r w:rsidRPr="00D82FB5">
        <w:rPr>
          <w:b/>
          <w:u w:val="single"/>
          <w:lang w:eastAsia="ja-JP"/>
        </w:rPr>
        <w:t xml:space="preserve"> NB-IoT/MTC</w:t>
      </w:r>
    </w:p>
    <w:p w14:paraId="7EA511D9" w14:textId="6D7D631F" w:rsidR="004033ED" w:rsidRDefault="00EF6C58" w:rsidP="00EA29F3">
      <w:r>
        <w:rPr>
          <w:lang w:eastAsia="zh-CN"/>
        </w:rPr>
        <w:t>A</w:t>
      </w:r>
      <w:r w:rsidR="008E3345">
        <w:rPr>
          <w:lang w:val="en-GB" w:eastAsia="zh-CN"/>
        </w:rPr>
        <w:t xml:space="preserve"> UE is required to perform intra-frequency </w:t>
      </w:r>
      <w:r w:rsidR="00B84758">
        <w:rPr>
          <w:lang w:val="en-GB" w:eastAsia="zh-CN"/>
        </w:rPr>
        <w:t xml:space="preserve">neighbour cell </w:t>
      </w:r>
      <w:r w:rsidR="0097698C">
        <w:rPr>
          <w:lang w:val="en-GB" w:eastAsia="zh-CN"/>
        </w:rPr>
        <w:t xml:space="preserve">RSRP/RSRQ </w:t>
      </w:r>
      <w:r w:rsidR="008E3345">
        <w:rPr>
          <w:lang w:val="en-GB" w:eastAsia="zh-CN"/>
        </w:rPr>
        <w:t>measure</w:t>
      </w:r>
      <w:r w:rsidR="00B84758">
        <w:rPr>
          <w:lang w:val="en-GB" w:eastAsia="zh-CN"/>
        </w:rPr>
        <w:t xml:space="preserve">ments, when the serving cell is below the </w:t>
      </w:r>
      <w:r w:rsidR="006B7CFA">
        <w:rPr>
          <w:lang w:val="en-GB" w:eastAsia="zh-CN"/>
        </w:rPr>
        <w:t xml:space="preserve">intra-frequency </w:t>
      </w:r>
      <w:r w:rsidR="00B84758">
        <w:rPr>
          <w:lang w:val="en-GB" w:eastAsia="zh-CN"/>
        </w:rPr>
        <w:t>measurement threshold</w:t>
      </w:r>
      <w:r w:rsidR="004033ED">
        <w:rPr>
          <w:lang w:val="en-GB" w:eastAsia="zh-CN"/>
        </w:rPr>
        <w:t xml:space="preserve">, or more specifically </w:t>
      </w:r>
      <w:r w:rsidR="004033ED" w:rsidRPr="00B23BA8">
        <w:rPr>
          <w:lang w:eastAsia="ja-JP"/>
        </w:rPr>
        <w:t xml:space="preserve">the </w:t>
      </w:r>
      <w:r w:rsidR="004033ED" w:rsidRPr="00B23BA8">
        <w:t xml:space="preserve">UE may choose not </w:t>
      </w:r>
      <w:r w:rsidR="004033ED" w:rsidRPr="00B23BA8">
        <w:rPr>
          <w:lang w:eastAsia="ja-JP"/>
        </w:rPr>
        <w:t xml:space="preserve">to </w:t>
      </w:r>
      <w:r w:rsidR="004033ED" w:rsidRPr="00B23BA8">
        <w:t>perform intra-frequency measurements</w:t>
      </w:r>
      <w:r w:rsidR="004033ED">
        <w:t xml:space="preserve"> when </w:t>
      </w:r>
      <w:proofErr w:type="spellStart"/>
      <w:r w:rsidR="004033ED" w:rsidRPr="00B23BA8">
        <w:t>S</w:t>
      </w:r>
      <w:r w:rsidR="004033ED" w:rsidRPr="00B23BA8">
        <w:rPr>
          <w:lang w:eastAsia="ja-JP"/>
        </w:rPr>
        <w:t>rxlev</w:t>
      </w:r>
      <w:proofErr w:type="spellEnd"/>
      <w:r w:rsidR="004033ED" w:rsidRPr="00B23BA8">
        <w:rPr>
          <w:vertAlign w:val="subscript"/>
        </w:rPr>
        <w:t xml:space="preserve"> </w:t>
      </w:r>
      <w:r w:rsidR="004033ED" w:rsidRPr="00B23BA8">
        <w:t xml:space="preserve">&gt; </w:t>
      </w:r>
      <w:proofErr w:type="spellStart"/>
      <w:r w:rsidR="004033ED" w:rsidRPr="00B23BA8">
        <w:t>S</w:t>
      </w:r>
      <w:r w:rsidR="004033ED" w:rsidRPr="00B23BA8">
        <w:rPr>
          <w:vertAlign w:val="subscript"/>
          <w:lang w:eastAsia="ja-JP"/>
        </w:rPr>
        <w:t>I</w:t>
      </w:r>
      <w:r w:rsidR="004033ED" w:rsidRPr="00B23BA8">
        <w:rPr>
          <w:vertAlign w:val="subscript"/>
        </w:rPr>
        <w:t>ntra</w:t>
      </w:r>
      <w:r w:rsidR="004033ED" w:rsidRPr="00B23BA8">
        <w:rPr>
          <w:vertAlign w:val="subscript"/>
          <w:lang w:eastAsia="ja-JP"/>
        </w:rPr>
        <w:t>S</w:t>
      </w:r>
      <w:r w:rsidR="004033ED" w:rsidRPr="00B23BA8">
        <w:rPr>
          <w:vertAlign w:val="subscript"/>
        </w:rPr>
        <w:t>earch</w:t>
      </w:r>
      <w:r w:rsidR="004033ED" w:rsidRPr="00B23BA8">
        <w:rPr>
          <w:vertAlign w:val="subscript"/>
          <w:lang w:eastAsia="ja-JP"/>
        </w:rPr>
        <w:t>P</w:t>
      </w:r>
      <w:proofErr w:type="spellEnd"/>
      <w:r w:rsidR="004033ED" w:rsidRPr="00B23BA8">
        <w:rPr>
          <w:lang w:eastAsia="ja-JP"/>
        </w:rPr>
        <w:t xml:space="preserve"> and Squal &gt; </w:t>
      </w:r>
      <w:proofErr w:type="spellStart"/>
      <w:r w:rsidR="004033ED" w:rsidRPr="00B23BA8">
        <w:rPr>
          <w:lang w:eastAsia="ja-JP"/>
        </w:rPr>
        <w:t>S</w:t>
      </w:r>
      <w:r w:rsidR="004033ED" w:rsidRPr="00B23BA8">
        <w:rPr>
          <w:vertAlign w:val="subscript"/>
          <w:lang w:eastAsia="ja-JP"/>
        </w:rPr>
        <w:t>IntraSearchQ</w:t>
      </w:r>
      <w:proofErr w:type="spellEnd"/>
      <w:r w:rsidR="004033ED">
        <w:t>.</w:t>
      </w:r>
      <w:r w:rsidR="00BD3F22">
        <w:t xml:space="preserve"> A s</w:t>
      </w:r>
      <w:r w:rsidR="00E321A5">
        <w:t>imilar rule exists for inter-frequency measurements, using the inter-frequency measurement threshold</w:t>
      </w:r>
      <w:r w:rsidR="00BD5C5A">
        <w:t>s</w:t>
      </w:r>
      <w:r w:rsidR="00E321A5">
        <w:t xml:space="preserve"> (</w:t>
      </w:r>
      <w:proofErr w:type="spellStart"/>
      <w:r w:rsidR="00C31882" w:rsidRPr="00B23BA8">
        <w:t>S</w:t>
      </w:r>
      <w:r w:rsidR="00C31882" w:rsidRPr="00B23BA8">
        <w:rPr>
          <w:vertAlign w:val="subscript"/>
          <w:lang w:eastAsia="ja-JP"/>
        </w:rPr>
        <w:t>nonI</w:t>
      </w:r>
      <w:r w:rsidR="00C31882" w:rsidRPr="00B23BA8">
        <w:rPr>
          <w:vertAlign w:val="subscript"/>
        </w:rPr>
        <w:t>ntra</w:t>
      </w:r>
      <w:r w:rsidR="00C31882" w:rsidRPr="00B23BA8">
        <w:rPr>
          <w:vertAlign w:val="subscript"/>
          <w:lang w:eastAsia="ja-JP"/>
        </w:rPr>
        <w:t>S</w:t>
      </w:r>
      <w:r w:rsidR="00C31882" w:rsidRPr="00B23BA8">
        <w:rPr>
          <w:vertAlign w:val="subscript"/>
        </w:rPr>
        <w:t>earch</w:t>
      </w:r>
      <w:r w:rsidR="00C31882" w:rsidRPr="00B23BA8">
        <w:rPr>
          <w:vertAlign w:val="subscript"/>
          <w:lang w:eastAsia="ja-JP"/>
        </w:rPr>
        <w:t>P</w:t>
      </w:r>
      <w:proofErr w:type="spellEnd"/>
      <w:r w:rsidR="00C31882" w:rsidRPr="00B23BA8">
        <w:rPr>
          <w:lang w:eastAsia="ja-JP"/>
        </w:rPr>
        <w:t xml:space="preserve"> and </w:t>
      </w:r>
      <w:proofErr w:type="spellStart"/>
      <w:r w:rsidR="00C31882" w:rsidRPr="00B23BA8">
        <w:t>S</w:t>
      </w:r>
      <w:r w:rsidR="00C31882" w:rsidRPr="00B23BA8">
        <w:rPr>
          <w:vertAlign w:val="subscript"/>
          <w:lang w:eastAsia="ja-JP"/>
        </w:rPr>
        <w:t>nonI</w:t>
      </w:r>
      <w:r w:rsidR="00C31882" w:rsidRPr="00B23BA8">
        <w:rPr>
          <w:vertAlign w:val="subscript"/>
        </w:rPr>
        <w:t>ntra</w:t>
      </w:r>
      <w:r w:rsidR="00C31882" w:rsidRPr="00B23BA8">
        <w:rPr>
          <w:vertAlign w:val="subscript"/>
          <w:lang w:eastAsia="ja-JP"/>
        </w:rPr>
        <w:t>S</w:t>
      </w:r>
      <w:r w:rsidR="00C31882" w:rsidRPr="00B23BA8">
        <w:rPr>
          <w:vertAlign w:val="subscript"/>
        </w:rPr>
        <w:t>earch</w:t>
      </w:r>
      <w:r w:rsidR="00C31882" w:rsidRPr="00B23BA8">
        <w:rPr>
          <w:vertAlign w:val="subscript"/>
          <w:lang w:eastAsia="ja-JP"/>
        </w:rPr>
        <w:t>Q</w:t>
      </w:r>
      <w:proofErr w:type="spellEnd"/>
      <w:r w:rsidR="00E321A5">
        <w:t>), which are typically configured above the intra-frequency measurement thresholds</w:t>
      </w:r>
      <w:r w:rsidR="000000CC">
        <w:t>, i.e. intra-frequency measurements are typically before inter-frequency measurements are triggered.</w:t>
      </w:r>
    </w:p>
    <w:p w14:paraId="618110D1" w14:textId="085CABA0" w:rsidR="004E513E" w:rsidRDefault="00AE7718" w:rsidP="00EA29F3">
      <w:pPr>
        <w:rPr>
          <w:lang w:val="en-GB" w:eastAsia="zh-CN"/>
        </w:rPr>
      </w:pPr>
      <w:r>
        <w:rPr>
          <w:lang w:val="en-GB" w:eastAsia="zh-CN"/>
        </w:rPr>
        <w:t xml:space="preserve">Because of the specific use case, </w:t>
      </w:r>
      <w:r w:rsidR="00EF6C58">
        <w:rPr>
          <w:lang w:val="en-GB" w:eastAsia="zh-CN"/>
        </w:rPr>
        <w:t>a</w:t>
      </w:r>
      <w:r w:rsidR="00AD27AB">
        <w:rPr>
          <w:lang w:val="en-GB" w:eastAsia="zh-CN"/>
        </w:rPr>
        <w:t xml:space="preserve"> NB-IoT</w:t>
      </w:r>
      <w:r w:rsidR="00EF6C58">
        <w:rPr>
          <w:lang w:val="en-GB" w:eastAsia="zh-CN"/>
        </w:rPr>
        <w:t xml:space="preserve"> or MTC </w:t>
      </w:r>
      <w:r w:rsidR="00AD27AB">
        <w:rPr>
          <w:lang w:val="en-GB" w:eastAsia="zh-CN"/>
        </w:rPr>
        <w:t xml:space="preserve">UE </w:t>
      </w:r>
      <w:r w:rsidR="00934B8C">
        <w:rPr>
          <w:lang w:val="en-GB" w:eastAsia="zh-CN"/>
        </w:rPr>
        <w:t>can</w:t>
      </w:r>
      <w:r w:rsidR="00AD27AB">
        <w:rPr>
          <w:lang w:val="en-GB" w:eastAsia="zh-CN"/>
        </w:rPr>
        <w:t xml:space="preserve"> </w:t>
      </w:r>
      <w:r w:rsidR="00DB3835">
        <w:rPr>
          <w:lang w:val="en-GB" w:eastAsia="zh-CN"/>
        </w:rPr>
        <w:t>be</w:t>
      </w:r>
      <w:r w:rsidR="00717236">
        <w:rPr>
          <w:lang w:val="en-GB" w:eastAsia="zh-CN"/>
        </w:rPr>
        <w:t xml:space="preserve"> permanently below the neighbour cell measurement threshold</w:t>
      </w:r>
      <w:r w:rsidR="00113FEA">
        <w:rPr>
          <w:lang w:val="en-GB" w:eastAsia="zh-CN"/>
        </w:rPr>
        <w:t xml:space="preserve"> because it is stationary</w:t>
      </w:r>
      <w:r w:rsidR="00E7005F">
        <w:rPr>
          <w:lang w:val="en-GB" w:eastAsia="zh-CN"/>
        </w:rPr>
        <w:t>,</w:t>
      </w:r>
      <w:r w:rsidR="009E0D6B">
        <w:rPr>
          <w:lang w:val="en-GB" w:eastAsia="zh-CN"/>
        </w:rPr>
        <w:t xml:space="preserve"> and thus be required to permanently perform neighbour cell measurements, while re-selection to another neighbour cell is not possible. </w:t>
      </w:r>
      <w:r w:rsidR="00433E84">
        <w:rPr>
          <w:lang w:val="en-GB" w:eastAsia="zh-CN"/>
        </w:rPr>
        <w:t>But a power saving enhancement for</w:t>
      </w:r>
      <w:r w:rsidR="00082788">
        <w:rPr>
          <w:lang w:val="en-GB" w:eastAsia="zh-CN"/>
        </w:rPr>
        <w:t xml:space="preserve"> NB-IoT/MTC UE</w:t>
      </w:r>
      <w:r w:rsidR="00433E84">
        <w:rPr>
          <w:lang w:val="en-GB" w:eastAsia="zh-CN"/>
        </w:rPr>
        <w:t xml:space="preserve"> was agreed, i.e. the UE</w:t>
      </w:r>
      <w:r w:rsidR="00E7005F">
        <w:rPr>
          <w:lang w:val="en-GB" w:eastAsia="zh-CN"/>
        </w:rPr>
        <w:t xml:space="preserve"> is not required to perform neighbour cell measurements</w:t>
      </w:r>
      <w:r w:rsidR="00BB707D">
        <w:rPr>
          <w:lang w:val="en-GB" w:eastAsia="zh-CN"/>
        </w:rPr>
        <w:t xml:space="preserve"> when the “relaxed monitoring criteria” is met, i.e. when </w:t>
      </w:r>
      <w:r w:rsidR="00750C89">
        <w:rPr>
          <w:lang w:val="en-GB" w:eastAsia="zh-CN"/>
        </w:rPr>
        <w:t xml:space="preserve">serving cell </w:t>
      </w:r>
      <w:r w:rsidR="00471F0A">
        <w:rPr>
          <w:lang w:val="en-GB" w:eastAsia="zh-CN"/>
        </w:rPr>
        <w:t>measurements indicate that the UE is stationary, i</w:t>
      </w:r>
      <w:r w:rsidR="00082788">
        <w:rPr>
          <w:lang w:val="en-GB" w:eastAsia="zh-CN"/>
        </w:rPr>
        <w:t xml:space="preserve">.e. more specifically </w:t>
      </w:r>
      <w:r w:rsidR="00091289">
        <w:rPr>
          <w:lang w:val="en-GB" w:eastAsia="zh-CN"/>
        </w:rPr>
        <w:t xml:space="preserve">when no drop in the serving cell </w:t>
      </w:r>
      <w:r w:rsidR="00890AD6">
        <w:rPr>
          <w:lang w:val="en-GB" w:eastAsia="zh-CN"/>
        </w:rPr>
        <w:t>signal is detected</w:t>
      </w:r>
      <w:r w:rsidR="00D143AF">
        <w:rPr>
          <w:lang w:val="en-GB" w:eastAsia="zh-CN"/>
        </w:rPr>
        <w:t xml:space="preserve"> (see 36.304 section </w:t>
      </w:r>
      <w:r w:rsidR="000C0B0D" w:rsidRPr="000C0B0D">
        <w:rPr>
          <w:lang w:val="en-GB" w:eastAsia="zh-CN"/>
        </w:rPr>
        <w:t>5.2.4.12</w:t>
      </w:r>
      <w:r w:rsidR="00D143AF">
        <w:rPr>
          <w:lang w:val="en-GB" w:eastAsia="zh-CN"/>
        </w:rPr>
        <w:t>)</w:t>
      </w:r>
      <w:r w:rsidR="00A4131F">
        <w:rPr>
          <w:lang w:val="en-GB" w:eastAsia="zh-CN"/>
        </w:rPr>
        <w:t>:</w:t>
      </w:r>
    </w:p>
    <w:p w14:paraId="7350E60C" w14:textId="76F52CDA" w:rsidR="00A4131F" w:rsidRDefault="00A4131F" w:rsidP="00EA29F3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36C6A48D" wp14:editId="6299AC51">
            <wp:extent cx="4487142" cy="185074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677" t="29539" r="12123" b="20835"/>
                    <a:stretch/>
                  </pic:blipFill>
                  <pic:spPr bwMode="auto">
                    <a:xfrm>
                      <a:off x="0" y="0"/>
                      <a:ext cx="4545026" cy="1874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CAC6F3" w14:textId="14497781" w:rsidR="00471F0A" w:rsidRDefault="00433E84" w:rsidP="00EA29F3">
      <w:pPr>
        <w:rPr>
          <w:lang w:val="en-GB" w:eastAsia="zh-CN"/>
        </w:rPr>
      </w:pPr>
      <w:r>
        <w:rPr>
          <w:lang w:val="en-GB" w:eastAsia="zh-CN"/>
        </w:rPr>
        <w:lastRenderedPageBreak/>
        <w:t>A</w:t>
      </w:r>
      <w:r w:rsidR="00113FEA">
        <w:rPr>
          <w:lang w:val="en-GB" w:eastAsia="zh-CN"/>
        </w:rPr>
        <w:t xml:space="preserve"> NB-IoT/MTC</w:t>
      </w:r>
      <w:r w:rsidR="00FA7064">
        <w:rPr>
          <w:lang w:val="en-GB" w:eastAsia="zh-CN"/>
        </w:rPr>
        <w:t xml:space="preserve"> </w:t>
      </w:r>
      <w:r w:rsidR="00113FEA">
        <w:rPr>
          <w:lang w:val="en-GB" w:eastAsia="zh-CN"/>
        </w:rPr>
        <w:t>is still required to</w:t>
      </w:r>
      <w:r w:rsidR="00FA7064">
        <w:rPr>
          <w:lang w:val="en-GB" w:eastAsia="zh-CN"/>
        </w:rPr>
        <w:t xml:space="preserve"> perform neighbour cell measurements at least every 24 hours. </w:t>
      </w:r>
      <w:r w:rsidR="003C3677">
        <w:rPr>
          <w:lang w:val="en-GB" w:eastAsia="zh-CN"/>
        </w:rPr>
        <w:t xml:space="preserve">The measured drop in serving cell </w:t>
      </w:r>
      <w:r w:rsidR="00E256B7">
        <w:rPr>
          <w:lang w:val="en-GB" w:eastAsia="zh-CN"/>
        </w:rPr>
        <w:t>signal is configured in system information (</w:t>
      </w:r>
      <w:proofErr w:type="spellStart"/>
      <w:r w:rsidR="00AE2080" w:rsidRPr="0096047C">
        <w:rPr>
          <w:lang w:eastAsia="ja-JP"/>
        </w:rPr>
        <w:t>S</w:t>
      </w:r>
      <w:r w:rsidR="00AE2080" w:rsidRPr="0096047C">
        <w:rPr>
          <w:vertAlign w:val="subscript"/>
          <w:lang w:eastAsia="ja-JP"/>
        </w:rPr>
        <w:t>SearchDeltaP</w:t>
      </w:r>
      <w:proofErr w:type="spellEnd"/>
      <w:r w:rsidR="00E256B7">
        <w:rPr>
          <w:lang w:val="en-GB" w:eastAsia="zh-CN"/>
        </w:rPr>
        <w:t xml:space="preserve">). </w:t>
      </w:r>
      <w:r w:rsidR="00AE2080">
        <w:rPr>
          <w:lang w:val="en-GB" w:eastAsia="zh-CN"/>
        </w:rPr>
        <w:t xml:space="preserve">The UE is also required to continue neighbour cell measurements after cell </w:t>
      </w:r>
      <w:r w:rsidR="00162097">
        <w:rPr>
          <w:lang w:val="en-GB" w:eastAsia="zh-CN"/>
        </w:rPr>
        <w:t xml:space="preserve">(re-)selection for </w:t>
      </w:r>
      <w:proofErr w:type="spellStart"/>
      <w:r w:rsidR="00162097" w:rsidRPr="0096047C">
        <w:rPr>
          <w:lang w:eastAsia="ja-JP"/>
        </w:rPr>
        <w:t>T</w:t>
      </w:r>
      <w:r w:rsidR="00162097" w:rsidRPr="0096047C">
        <w:rPr>
          <w:vertAlign w:val="subscript"/>
          <w:lang w:eastAsia="ja-JP"/>
        </w:rPr>
        <w:t>SearchDeltaP</w:t>
      </w:r>
      <w:proofErr w:type="spellEnd"/>
      <w:r w:rsidR="00162097" w:rsidRPr="0096047C">
        <w:rPr>
          <w:lang w:eastAsia="zh-CN"/>
        </w:rPr>
        <w:t xml:space="preserve"> = 5 minutes</w:t>
      </w:r>
      <w:r w:rsidR="00162097">
        <w:rPr>
          <w:lang w:eastAsia="zh-CN"/>
        </w:rPr>
        <w:t xml:space="preserve">. </w:t>
      </w:r>
    </w:p>
    <w:p w14:paraId="1B7CAA92" w14:textId="27A840BF" w:rsidR="008D2E9B" w:rsidRPr="004F3976" w:rsidRDefault="004F3976" w:rsidP="00EA29F3">
      <w:pPr>
        <w:rPr>
          <w:b/>
          <w:u w:val="single"/>
          <w:lang w:val="en-GB" w:eastAsia="zh-CN"/>
        </w:rPr>
      </w:pPr>
      <w:r w:rsidRPr="004F3976">
        <w:rPr>
          <w:b/>
          <w:u w:val="single"/>
          <w:lang w:val="en-GB" w:eastAsia="zh-CN"/>
        </w:rPr>
        <w:t>Relaxed serving cell monitoring and WUS</w:t>
      </w:r>
      <w:r w:rsidR="00A904E2">
        <w:rPr>
          <w:b/>
          <w:u w:val="single"/>
          <w:lang w:val="en-GB" w:eastAsia="zh-CN"/>
        </w:rPr>
        <w:t xml:space="preserve"> in NB-IoT</w:t>
      </w:r>
    </w:p>
    <w:p w14:paraId="16B92DD0" w14:textId="14138CB0" w:rsidR="000C0B0D" w:rsidRDefault="000566DC" w:rsidP="00EA29F3">
      <w:pPr>
        <w:rPr>
          <w:lang w:val="en-GB" w:eastAsia="zh-CN"/>
        </w:rPr>
      </w:pPr>
      <w:r>
        <w:rPr>
          <w:lang w:val="en-GB" w:eastAsia="zh-CN"/>
        </w:rPr>
        <w:t>The UE is typically required to measure the serving cell RSRP/RSRQ every DRX cycle</w:t>
      </w:r>
      <w:r w:rsidR="00584B9A">
        <w:rPr>
          <w:rStyle w:val="FootnoteReference"/>
          <w:lang w:val="en-GB" w:eastAsia="zh-CN"/>
        </w:rPr>
        <w:footnoteReference w:id="1"/>
      </w:r>
      <w:r w:rsidR="00CB2E5D">
        <w:rPr>
          <w:lang w:val="en-GB" w:eastAsia="zh-CN"/>
        </w:rPr>
        <w:t xml:space="preserve">. </w:t>
      </w:r>
      <w:r w:rsidR="002E1BFA">
        <w:rPr>
          <w:lang w:val="en-GB" w:eastAsia="zh-CN"/>
        </w:rPr>
        <w:t>In NB-IoT</w:t>
      </w:r>
      <w:r w:rsidR="00783D00">
        <w:rPr>
          <w:lang w:val="en-GB" w:eastAsia="zh-CN"/>
        </w:rPr>
        <w:t xml:space="preserve">, </w:t>
      </w:r>
      <w:r w:rsidR="002E1BFA">
        <w:rPr>
          <w:lang w:val="en-GB" w:eastAsia="zh-CN"/>
        </w:rPr>
        <w:t>when WUS is configured in the cell, it is possible to relax the serving cell measurements</w:t>
      </w:r>
      <w:r w:rsidR="005406B8">
        <w:rPr>
          <w:lang w:val="en-GB" w:eastAsia="zh-CN"/>
        </w:rPr>
        <w:t xml:space="preserve"> indicated by </w:t>
      </w:r>
      <w:r w:rsidR="00C8205A" w:rsidRPr="00106722">
        <w:rPr>
          <w:i/>
        </w:rPr>
        <w:t>numDRX-CycleRelaxed-r15</w:t>
      </w:r>
      <w:r w:rsidR="005406B8">
        <w:rPr>
          <w:lang w:val="en-GB" w:eastAsia="zh-CN"/>
        </w:rPr>
        <w:t xml:space="preserve"> in system information</w:t>
      </w:r>
      <w:r w:rsidR="002E1BFA">
        <w:rPr>
          <w:lang w:val="en-GB" w:eastAsia="zh-CN"/>
        </w:rPr>
        <w:t xml:space="preserve">, provided that the neighbour cell measurements are also relaxed, and </w:t>
      </w:r>
      <w:r w:rsidR="00B90FBD">
        <w:rPr>
          <w:lang w:val="en-GB" w:eastAsia="zh-CN"/>
        </w:rPr>
        <w:t>additional conditions are met</w:t>
      </w:r>
      <w:r w:rsidR="005406B8">
        <w:rPr>
          <w:lang w:val="en-GB" w:eastAsia="zh-CN"/>
        </w:rPr>
        <w:t xml:space="preserve">, see section </w:t>
      </w:r>
      <w:r w:rsidR="00D87E71" w:rsidRPr="00106722">
        <w:t>4.6.2.1A</w:t>
      </w:r>
      <w:r w:rsidR="00D87E71">
        <w:rPr>
          <w:lang w:val="en-GB" w:eastAsia="zh-CN"/>
        </w:rPr>
        <w:t xml:space="preserve"> in 36.133</w:t>
      </w:r>
      <w:r w:rsidR="00FE4DB2">
        <w:rPr>
          <w:lang w:val="en-GB" w:eastAsia="zh-CN"/>
        </w:rPr>
        <w:t>.</w:t>
      </w:r>
    </w:p>
    <w:p w14:paraId="0A6AF458" w14:textId="1DDBD80B" w:rsidR="00FE4DB2" w:rsidRPr="00FB163D" w:rsidRDefault="00A77047" w:rsidP="00EA29F3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 xml:space="preserve">DRX configuration </w:t>
      </w:r>
      <w:r w:rsidR="00DC6119">
        <w:rPr>
          <w:b/>
          <w:u w:val="single"/>
          <w:lang w:val="en-GB" w:eastAsia="zh-CN"/>
        </w:rPr>
        <w:t>options</w:t>
      </w:r>
    </w:p>
    <w:p w14:paraId="3782E0D2" w14:textId="481F5157" w:rsidR="00227B15" w:rsidRDefault="00A77047" w:rsidP="00EA29F3">
      <w:r>
        <w:rPr>
          <w:lang w:val="en-GB" w:eastAsia="zh-CN"/>
        </w:rPr>
        <w:t xml:space="preserve">The </w:t>
      </w:r>
      <w:r w:rsidR="00F44D0D">
        <w:rPr>
          <w:lang w:val="en-GB" w:eastAsia="zh-CN"/>
        </w:rPr>
        <w:t xml:space="preserve">possible </w:t>
      </w:r>
      <w:r>
        <w:rPr>
          <w:lang w:val="en-GB" w:eastAsia="zh-CN"/>
        </w:rPr>
        <w:t>DRX cycle length</w:t>
      </w:r>
      <w:r w:rsidR="00F44D0D">
        <w:rPr>
          <w:lang w:val="en-GB" w:eastAsia="zh-CN"/>
        </w:rPr>
        <w:t>s</w:t>
      </w:r>
      <w:r w:rsidR="00227B15">
        <w:rPr>
          <w:lang w:val="en-GB" w:eastAsia="zh-CN"/>
        </w:rPr>
        <w:t xml:space="preserve"> in Idle/Inactive mode</w:t>
      </w:r>
      <w:r w:rsidR="00E53A7E">
        <w:rPr>
          <w:lang w:val="en-GB" w:eastAsia="zh-CN"/>
        </w:rPr>
        <w:t>, i.e.</w:t>
      </w:r>
      <w:r w:rsidR="00B53728">
        <w:rPr>
          <w:lang w:val="en-GB" w:eastAsia="zh-CN"/>
        </w:rPr>
        <w:t xml:space="preserve"> the</w:t>
      </w:r>
      <w:r w:rsidR="00E53A7E">
        <w:rPr>
          <w:lang w:val="en-GB" w:eastAsia="zh-CN"/>
        </w:rPr>
        <w:t xml:space="preserve"> </w:t>
      </w:r>
      <w:proofErr w:type="spellStart"/>
      <w:r w:rsidR="00F44D0D" w:rsidRPr="00F44D0D">
        <w:rPr>
          <w:i/>
        </w:rPr>
        <w:t>defaultPagingCycle</w:t>
      </w:r>
      <w:proofErr w:type="spellEnd"/>
      <w:r w:rsidR="00F44D0D">
        <w:rPr>
          <w:lang w:val="en-GB" w:eastAsia="zh-CN"/>
        </w:rPr>
        <w:t xml:space="preserve"> in Idle mode and</w:t>
      </w:r>
      <w:r w:rsidR="00B53728">
        <w:rPr>
          <w:lang w:val="en-GB" w:eastAsia="zh-CN"/>
        </w:rPr>
        <w:t xml:space="preserve"> the</w:t>
      </w:r>
      <w:r w:rsidR="00F44D0D">
        <w:rPr>
          <w:lang w:val="en-GB" w:eastAsia="zh-CN"/>
        </w:rPr>
        <w:t xml:space="preserve"> </w:t>
      </w:r>
      <w:r w:rsidR="00533892" w:rsidRPr="00F44D0D">
        <w:rPr>
          <w:i/>
        </w:rPr>
        <w:t>ran-PagingCycle</w:t>
      </w:r>
      <w:r w:rsidR="00F44D0D">
        <w:t xml:space="preserve"> in Inactive mode, </w:t>
      </w:r>
      <w:r w:rsidR="00B53728">
        <w:t>that can be configured are</w:t>
      </w:r>
      <w:r w:rsidR="00F44D0D">
        <w:t xml:space="preserve"> </w:t>
      </w:r>
      <w:r w:rsidR="00A56BF6">
        <w:rPr>
          <w:lang w:val="en-GB" w:eastAsia="zh-CN"/>
        </w:rPr>
        <w:t>{0.</w:t>
      </w:r>
      <w:r w:rsidR="003D2C70" w:rsidRPr="00645E3C">
        <w:t xml:space="preserve">32, </w:t>
      </w:r>
      <w:r w:rsidR="00A56BF6">
        <w:t>0.</w:t>
      </w:r>
      <w:r w:rsidR="003D2C70" w:rsidRPr="00645E3C">
        <w:t xml:space="preserve">64, </w:t>
      </w:r>
      <w:r w:rsidR="00A56BF6">
        <w:t>1.</w:t>
      </w:r>
      <w:r w:rsidR="003D2C70" w:rsidRPr="00645E3C">
        <w:t xml:space="preserve">28, </w:t>
      </w:r>
      <w:r w:rsidR="00A56BF6">
        <w:t>2.</w:t>
      </w:r>
      <w:r w:rsidR="003D2C70" w:rsidRPr="00645E3C">
        <w:t>56</w:t>
      </w:r>
      <w:r w:rsidR="00A56BF6">
        <w:t xml:space="preserve">} sec. </w:t>
      </w:r>
      <w:r w:rsidR="001913AF">
        <w:rPr>
          <w:lang w:val="en-GB" w:eastAsia="zh-CN"/>
        </w:rPr>
        <w:t xml:space="preserve">The possible DRX cycle lengths in </w:t>
      </w:r>
      <w:r w:rsidR="001913AF">
        <w:rPr>
          <w:lang w:val="en-GB" w:eastAsia="zh-CN"/>
        </w:rPr>
        <w:t>Connected</w:t>
      </w:r>
      <w:r w:rsidR="001913AF">
        <w:rPr>
          <w:lang w:val="en-GB" w:eastAsia="zh-CN"/>
        </w:rPr>
        <w:t xml:space="preserve"> mode</w:t>
      </w:r>
      <w:r w:rsidR="001913AF">
        <w:rPr>
          <w:lang w:val="en-GB" w:eastAsia="zh-CN"/>
        </w:rPr>
        <w:t xml:space="preserve"> are </w:t>
      </w:r>
      <w:r w:rsidR="001A20CC">
        <w:rPr>
          <w:lang w:val="en-GB" w:eastAsia="zh-CN"/>
        </w:rPr>
        <w:t xml:space="preserve">for </w:t>
      </w:r>
      <w:proofErr w:type="spellStart"/>
      <w:r w:rsidR="001A20CC">
        <w:rPr>
          <w:lang w:val="en-GB" w:eastAsia="zh-CN"/>
        </w:rPr>
        <w:t>ShortDRX</w:t>
      </w:r>
      <w:proofErr w:type="spellEnd"/>
      <w:r w:rsidR="001A20CC">
        <w:rPr>
          <w:lang w:val="en-GB" w:eastAsia="zh-CN"/>
        </w:rPr>
        <w:t xml:space="preserve"> {2, 3, …, </w:t>
      </w:r>
      <w:r w:rsidR="003456F6">
        <w:rPr>
          <w:lang w:val="en-GB" w:eastAsia="zh-CN"/>
        </w:rPr>
        <w:t>512, 640</w:t>
      </w:r>
      <w:r w:rsidR="001A20CC">
        <w:rPr>
          <w:lang w:val="en-GB" w:eastAsia="zh-CN"/>
        </w:rPr>
        <w:t xml:space="preserve">} </w:t>
      </w:r>
      <w:proofErr w:type="spellStart"/>
      <w:r w:rsidR="001A20CC">
        <w:rPr>
          <w:lang w:val="en-GB" w:eastAsia="zh-CN"/>
        </w:rPr>
        <w:t>msec</w:t>
      </w:r>
      <w:proofErr w:type="spellEnd"/>
      <w:r w:rsidR="001A20CC">
        <w:rPr>
          <w:lang w:val="en-GB" w:eastAsia="zh-CN"/>
        </w:rPr>
        <w:t xml:space="preserve">, and </w:t>
      </w:r>
      <w:proofErr w:type="spellStart"/>
      <w:r w:rsidR="001A20CC">
        <w:rPr>
          <w:lang w:val="en-GB" w:eastAsia="zh-CN"/>
        </w:rPr>
        <w:t>LongDRX</w:t>
      </w:r>
      <w:proofErr w:type="spellEnd"/>
      <w:r w:rsidR="001A20CC">
        <w:rPr>
          <w:lang w:val="en-GB" w:eastAsia="zh-CN"/>
        </w:rPr>
        <w:t xml:space="preserve"> {</w:t>
      </w:r>
      <w:r w:rsidR="003456F6">
        <w:rPr>
          <w:lang w:val="en-GB" w:eastAsia="zh-CN"/>
        </w:rPr>
        <w:t xml:space="preserve">10, 20, …, </w:t>
      </w:r>
      <w:r w:rsidR="00DC6119">
        <w:rPr>
          <w:lang w:val="en-GB" w:eastAsia="zh-CN"/>
        </w:rPr>
        <w:t>5120, 10240</w:t>
      </w:r>
      <w:r w:rsidR="001A20CC">
        <w:rPr>
          <w:lang w:val="en-GB" w:eastAsia="zh-CN"/>
        </w:rPr>
        <w:t>}</w:t>
      </w:r>
      <w:r w:rsidR="00DC6119">
        <w:rPr>
          <w:lang w:val="en-GB" w:eastAsia="zh-CN"/>
        </w:rPr>
        <w:t xml:space="preserve"> </w:t>
      </w:r>
      <w:proofErr w:type="spellStart"/>
      <w:r w:rsidR="00DC6119">
        <w:rPr>
          <w:lang w:val="en-GB" w:eastAsia="zh-CN"/>
        </w:rPr>
        <w:t>msec</w:t>
      </w:r>
      <w:proofErr w:type="spellEnd"/>
      <w:r w:rsidR="00AC2988">
        <w:t xml:space="preserve">. </w:t>
      </w:r>
    </w:p>
    <w:p w14:paraId="6A324EAD" w14:textId="153E21A3" w:rsidR="008D1E69" w:rsidRDefault="008D1E69" w:rsidP="00EA29F3">
      <w:r>
        <w:t>In NR the UE can negotiate a UE specific DRX cycle with the AMF, see</w:t>
      </w:r>
      <w:r w:rsidR="006A1E47">
        <w:t xml:space="preserve"> section </w:t>
      </w:r>
      <w:r w:rsidR="00275586">
        <w:t>5.4.5 in</w:t>
      </w:r>
      <w:r>
        <w:t xml:space="preserve"> TS </w:t>
      </w:r>
      <w:r w:rsidR="006A1E47">
        <w:t>23.501</w:t>
      </w:r>
      <w:r w:rsidR="00275586">
        <w:t xml:space="preserve">. The UE can indicate a preferred </w:t>
      </w:r>
      <w:r w:rsidR="00297BFE">
        <w:t xml:space="preserve">DRX cycle in the registration procedure. The AMF </w:t>
      </w:r>
      <w:r w:rsidR="004C2F61">
        <w:t xml:space="preserve">responds with the accepted DRX cycle. </w:t>
      </w:r>
      <w:r w:rsidR="00297BFE">
        <w:t xml:space="preserve"> </w:t>
      </w:r>
    </w:p>
    <w:p w14:paraId="1DEB3AB7" w14:textId="30DDCAF1" w:rsidR="00FA27C0" w:rsidRDefault="009D725A" w:rsidP="00FA27C0">
      <w:pPr>
        <w:pStyle w:val="Heading1"/>
      </w:pPr>
      <w:r>
        <w:t>Discussion</w:t>
      </w:r>
      <w:bookmarkEnd w:id="2"/>
    </w:p>
    <w:p w14:paraId="47BF4A67" w14:textId="7BB0C786" w:rsidR="00873F7D" w:rsidRPr="00873F7D" w:rsidRDefault="00873F7D" w:rsidP="00873F7D">
      <w:pPr>
        <w:rPr>
          <w:b/>
          <w:u w:val="single"/>
          <w:lang w:val="en-GB" w:eastAsia="zh-CN"/>
        </w:rPr>
      </w:pPr>
      <w:r w:rsidRPr="00873F7D">
        <w:rPr>
          <w:b/>
          <w:u w:val="single"/>
          <w:lang w:val="en-GB" w:eastAsia="zh-CN"/>
        </w:rPr>
        <w:t>Relaxed monitoring measurement rules for neighbour cell measurements</w:t>
      </w:r>
    </w:p>
    <w:p w14:paraId="49D2BCC6" w14:textId="1A56ED2F" w:rsidR="002F08D2" w:rsidRPr="002F08D2" w:rsidRDefault="002F08D2" w:rsidP="00873F7D">
      <w:pPr>
        <w:rPr>
          <w:lang w:val="en-GB" w:eastAsia="zh-CN"/>
        </w:rPr>
      </w:pPr>
      <w:r>
        <w:rPr>
          <w:lang w:val="en-GB" w:eastAsia="zh-CN"/>
        </w:rPr>
        <w:t xml:space="preserve">NB-IoT is a special use case </w:t>
      </w:r>
      <w:r w:rsidR="009A041E">
        <w:rPr>
          <w:lang w:val="en-GB" w:eastAsia="zh-CN"/>
        </w:rPr>
        <w:t>where the UE may be permanently stationary (e.g. fixed to a wall) and in NB-IoT only low mobility is supported</w:t>
      </w:r>
      <w:r w:rsidR="00A679CD">
        <w:rPr>
          <w:lang w:val="en-GB" w:eastAsia="zh-CN"/>
        </w:rPr>
        <w:t xml:space="preserve"> and handovers are not supported</w:t>
      </w:r>
      <w:r w:rsidR="009A041E">
        <w:rPr>
          <w:lang w:val="en-GB" w:eastAsia="zh-CN"/>
        </w:rPr>
        <w:t xml:space="preserve">. </w:t>
      </w:r>
      <w:r w:rsidR="005B4719">
        <w:rPr>
          <w:lang w:val="en-GB" w:eastAsia="zh-CN"/>
        </w:rPr>
        <w:t xml:space="preserve">The </w:t>
      </w:r>
      <w:r w:rsidR="009A041E">
        <w:rPr>
          <w:lang w:val="en-GB" w:eastAsia="zh-CN"/>
        </w:rPr>
        <w:t xml:space="preserve">NR </w:t>
      </w:r>
      <w:r w:rsidR="0067133E">
        <w:rPr>
          <w:lang w:val="en-GB" w:eastAsia="zh-CN"/>
        </w:rPr>
        <w:t>use cases in that sense are different, i.e. the typical NR use case is MBB</w:t>
      </w:r>
      <w:r w:rsidR="005B4719">
        <w:rPr>
          <w:lang w:val="en-GB" w:eastAsia="zh-CN"/>
        </w:rPr>
        <w:t xml:space="preserve"> with full mobility support</w:t>
      </w:r>
      <w:r w:rsidR="00B418CC">
        <w:rPr>
          <w:lang w:val="en-GB" w:eastAsia="zh-CN"/>
        </w:rPr>
        <w:t xml:space="preserve">. But also in NR the UE </w:t>
      </w:r>
      <w:r w:rsidR="001A0471">
        <w:rPr>
          <w:lang w:val="en-GB" w:eastAsia="zh-CN"/>
        </w:rPr>
        <w:t>can be</w:t>
      </w:r>
      <w:r w:rsidR="00B418CC">
        <w:rPr>
          <w:lang w:val="en-GB" w:eastAsia="zh-CN"/>
        </w:rPr>
        <w:t xml:space="preserve"> expected to be stationary for significant amount of times during </w:t>
      </w:r>
      <w:r w:rsidR="00B9710B">
        <w:rPr>
          <w:lang w:val="en-GB" w:eastAsia="zh-CN"/>
        </w:rPr>
        <w:t>a</w:t>
      </w:r>
      <w:r w:rsidR="00B418CC">
        <w:rPr>
          <w:lang w:val="en-GB" w:eastAsia="zh-CN"/>
        </w:rPr>
        <w:t xml:space="preserve"> day, similar as in LTE. </w:t>
      </w:r>
      <w:r w:rsidR="00E75367">
        <w:rPr>
          <w:lang w:val="en-GB" w:eastAsia="zh-CN"/>
        </w:rPr>
        <w:t xml:space="preserve">When the UE is stationary, certain requirements, such as RRM measurement requirements can </w:t>
      </w:r>
      <w:r w:rsidR="00736176">
        <w:rPr>
          <w:lang w:val="en-GB" w:eastAsia="zh-CN"/>
        </w:rPr>
        <w:t>potentially be</w:t>
      </w:r>
      <w:r w:rsidR="00E75367">
        <w:rPr>
          <w:lang w:val="en-GB" w:eastAsia="zh-CN"/>
        </w:rPr>
        <w:t xml:space="preserve"> relaxed, e.g. </w:t>
      </w:r>
      <w:r w:rsidR="00AB16DC">
        <w:rPr>
          <w:lang w:val="en-GB" w:eastAsia="zh-CN"/>
        </w:rPr>
        <w:t>there is no need to discover and measure neighbour cells</w:t>
      </w:r>
      <w:r w:rsidR="002626A5">
        <w:rPr>
          <w:lang w:val="en-GB" w:eastAsia="zh-CN"/>
        </w:rPr>
        <w:t xml:space="preserve"> </w:t>
      </w:r>
      <w:r w:rsidR="000F443D">
        <w:rPr>
          <w:lang w:val="en-GB" w:eastAsia="zh-CN"/>
        </w:rPr>
        <w:t>when the UE is below the neighbour cell measurement threshold</w:t>
      </w:r>
      <w:r w:rsidR="00CD0435">
        <w:rPr>
          <w:lang w:val="en-GB" w:eastAsia="zh-CN"/>
        </w:rPr>
        <w:t xml:space="preserve"> and stationary</w:t>
      </w:r>
      <w:r w:rsidR="002626A5">
        <w:rPr>
          <w:lang w:val="en-GB" w:eastAsia="zh-CN"/>
        </w:rPr>
        <w:t>.</w:t>
      </w:r>
      <w:r w:rsidR="000246C8">
        <w:rPr>
          <w:lang w:val="en-GB" w:eastAsia="zh-CN"/>
        </w:rPr>
        <w:t xml:space="preserve"> When the UE is above the measurement threshold it is already allowed not to measure neighbour cells: </w:t>
      </w:r>
      <w:r w:rsidR="002626A5">
        <w:rPr>
          <w:lang w:val="en-GB" w:eastAsia="zh-CN"/>
        </w:rPr>
        <w:t xml:space="preserve"> </w:t>
      </w:r>
    </w:p>
    <w:p w14:paraId="62589749" w14:textId="126CF4D8" w:rsidR="00873F7D" w:rsidRDefault="00B66F5C" w:rsidP="00873F7D">
      <w:pPr>
        <w:rPr>
          <w:lang w:val="en-GB" w:eastAsia="zh-CN"/>
        </w:rPr>
      </w:pPr>
      <w:r w:rsidRPr="00B66F5C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RAN2 to evaluate </w:t>
      </w:r>
      <w:r w:rsidR="000F443D">
        <w:rPr>
          <w:lang w:val="en-GB" w:eastAsia="zh-CN"/>
        </w:rPr>
        <w:t>the</w:t>
      </w:r>
      <w:r w:rsidR="00CB4F64">
        <w:rPr>
          <w:lang w:val="en-GB" w:eastAsia="zh-CN"/>
        </w:rPr>
        <w:t xml:space="preserve"> feasibility </w:t>
      </w:r>
      <w:r w:rsidR="00881FAA">
        <w:rPr>
          <w:lang w:val="en-GB" w:eastAsia="zh-CN"/>
        </w:rPr>
        <w:t xml:space="preserve">to relax the </w:t>
      </w:r>
      <w:r>
        <w:rPr>
          <w:lang w:val="en-GB" w:eastAsia="zh-CN"/>
        </w:rPr>
        <w:t>neighbour cell measurements</w:t>
      </w:r>
      <w:r w:rsidR="001D2D82">
        <w:rPr>
          <w:lang w:val="en-GB" w:eastAsia="zh-CN"/>
        </w:rPr>
        <w:t xml:space="preserve"> for stationary </w:t>
      </w:r>
      <w:r w:rsidR="00C42EF6">
        <w:rPr>
          <w:lang w:val="en-GB" w:eastAsia="zh-CN"/>
        </w:rPr>
        <w:t xml:space="preserve">NR </w:t>
      </w:r>
      <w:r w:rsidR="001D2D82">
        <w:rPr>
          <w:lang w:val="en-GB" w:eastAsia="zh-CN"/>
        </w:rPr>
        <w:t xml:space="preserve">UE in idle mode </w:t>
      </w:r>
      <w:r w:rsidR="002626A5">
        <w:rPr>
          <w:lang w:val="en-GB" w:eastAsia="zh-CN"/>
        </w:rPr>
        <w:t xml:space="preserve">when </w:t>
      </w:r>
      <w:r w:rsidR="002C2AE6">
        <w:rPr>
          <w:lang w:val="en-GB" w:eastAsia="zh-CN"/>
        </w:rPr>
        <w:t>it is below</w:t>
      </w:r>
      <w:r w:rsidR="00881FAA">
        <w:rPr>
          <w:lang w:val="en-GB" w:eastAsia="zh-CN"/>
        </w:rPr>
        <w:t xml:space="preserve"> </w:t>
      </w:r>
      <w:r w:rsidR="001D2D82">
        <w:rPr>
          <w:lang w:val="en-GB" w:eastAsia="zh-CN"/>
        </w:rPr>
        <w:t>the measurement threshold</w:t>
      </w:r>
      <w:r w:rsidR="00881FAA">
        <w:rPr>
          <w:lang w:val="en-GB" w:eastAsia="zh-CN"/>
        </w:rPr>
        <w:t>.</w:t>
      </w:r>
    </w:p>
    <w:p w14:paraId="4E9F27D4" w14:textId="4E73D69A" w:rsidR="001D2D82" w:rsidRDefault="00444F15" w:rsidP="00873F7D">
      <w:pPr>
        <w:rPr>
          <w:lang w:val="en-GB" w:eastAsia="zh-CN"/>
        </w:rPr>
      </w:pPr>
      <w:r>
        <w:rPr>
          <w:lang w:val="en-GB" w:eastAsia="zh-CN"/>
        </w:rPr>
        <w:t xml:space="preserve">It is proposed to evaluate a similar approach </w:t>
      </w:r>
      <w:r w:rsidR="00270175">
        <w:rPr>
          <w:lang w:val="en-GB" w:eastAsia="zh-CN"/>
        </w:rPr>
        <w:t>as has</w:t>
      </w:r>
      <w:r>
        <w:rPr>
          <w:lang w:val="en-GB" w:eastAsia="zh-CN"/>
        </w:rPr>
        <w:t xml:space="preserve"> been agreed for NB-IoT/MTC, i.e. </w:t>
      </w:r>
      <w:r w:rsidR="00E303EE">
        <w:rPr>
          <w:lang w:val="en-GB" w:eastAsia="zh-CN"/>
        </w:rPr>
        <w:t xml:space="preserve">with control of the NW the UE determines when it is stationary. When the UE is stationary </w:t>
      </w:r>
      <w:r w:rsidR="003B5ABE">
        <w:rPr>
          <w:lang w:val="en-GB" w:eastAsia="zh-CN"/>
        </w:rPr>
        <w:t xml:space="preserve">the UE may apply </w:t>
      </w:r>
      <w:r w:rsidR="00E303EE">
        <w:rPr>
          <w:lang w:val="en-GB" w:eastAsia="zh-CN"/>
        </w:rPr>
        <w:t xml:space="preserve">relaxed neighbour cell measurements. However when the </w:t>
      </w:r>
      <w:r w:rsidR="00E42D7E">
        <w:rPr>
          <w:lang w:val="en-GB" w:eastAsia="zh-CN"/>
        </w:rPr>
        <w:t xml:space="preserve">UE is not stationary the existing RAN4 RRM measurement requirements apply. </w:t>
      </w:r>
      <w:r w:rsidR="003B5ABE">
        <w:rPr>
          <w:lang w:val="en-GB" w:eastAsia="zh-CN"/>
        </w:rPr>
        <w:t xml:space="preserve">RAN2 should not change the RAN4 RRM requirements, but can modify the </w:t>
      </w:r>
      <w:r w:rsidR="008B5761">
        <w:rPr>
          <w:lang w:val="en-GB" w:eastAsia="zh-CN"/>
        </w:rPr>
        <w:t>neighbour cell measurement rules defined in 38.304.</w:t>
      </w:r>
      <w:r w:rsidR="00BF1EF5" w:rsidRPr="00BF1EF5">
        <w:rPr>
          <w:lang w:val="en-GB" w:eastAsia="zh-CN"/>
        </w:rPr>
        <w:t xml:space="preserve"> </w:t>
      </w:r>
      <w:r w:rsidR="00BF1EF5">
        <w:rPr>
          <w:lang w:val="en-GB" w:eastAsia="zh-CN"/>
        </w:rPr>
        <w:t xml:space="preserve">Further safeguards may be required, such as periodic neighbour cell measurements in the background even the UE is stationary and neighbour cell measurements after cell (re-)selection. </w:t>
      </w:r>
    </w:p>
    <w:p w14:paraId="18C45C2A" w14:textId="2293D1A7" w:rsidR="00873F7D" w:rsidRDefault="00873F7D" w:rsidP="00873F7D">
      <w:pPr>
        <w:rPr>
          <w:b/>
          <w:u w:val="single"/>
          <w:lang w:val="en-GB" w:eastAsia="zh-CN"/>
        </w:rPr>
      </w:pPr>
      <w:r w:rsidRPr="004F3976">
        <w:rPr>
          <w:b/>
          <w:u w:val="single"/>
          <w:lang w:val="en-GB" w:eastAsia="zh-CN"/>
        </w:rPr>
        <w:t>Relaxed serving cell monitoring and WUS</w:t>
      </w:r>
    </w:p>
    <w:p w14:paraId="1BDEC8DD" w14:textId="30CE2DE3" w:rsidR="008B5761" w:rsidRPr="008B5761" w:rsidRDefault="009650FA" w:rsidP="00873F7D">
      <w:pPr>
        <w:rPr>
          <w:lang w:val="en-GB" w:eastAsia="zh-CN"/>
        </w:rPr>
      </w:pPr>
      <w:r>
        <w:rPr>
          <w:lang w:val="en-GB" w:eastAsia="zh-CN"/>
        </w:rPr>
        <w:t>The serving cell measurement</w:t>
      </w:r>
      <w:r w:rsidR="00CB12E3">
        <w:rPr>
          <w:lang w:val="en-GB" w:eastAsia="zh-CN"/>
        </w:rPr>
        <w:t>s</w:t>
      </w:r>
      <w:r>
        <w:rPr>
          <w:lang w:val="en-GB" w:eastAsia="zh-CN"/>
        </w:rPr>
        <w:t xml:space="preserve"> in Idle mode are used to determine if neighbour cell measurement shall be performed. The serving cell measurements are used to detect if the cell is suitable to camp on</w:t>
      </w:r>
      <w:r w:rsidR="002D2EEE">
        <w:rPr>
          <w:lang w:val="en-GB" w:eastAsia="zh-CN"/>
        </w:rPr>
        <w:t xml:space="preserve">, and if the UE can receive Paging </w:t>
      </w:r>
      <w:r w:rsidR="0059000A">
        <w:rPr>
          <w:lang w:val="en-GB" w:eastAsia="zh-CN"/>
        </w:rPr>
        <w:t>and</w:t>
      </w:r>
      <w:r w:rsidR="002D2EEE">
        <w:rPr>
          <w:lang w:val="en-GB" w:eastAsia="zh-CN"/>
        </w:rPr>
        <w:t xml:space="preserve"> PWS </w:t>
      </w:r>
      <w:r w:rsidR="0059000A">
        <w:rPr>
          <w:lang w:val="en-GB" w:eastAsia="zh-CN"/>
        </w:rPr>
        <w:t>notifications</w:t>
      </w:r>
      <w:r w:rsidR="002D2EEE">
        <w:rPr>
          <w:lang w:val="en-GB" w:eastAsia="zh-CN"/>
        </w:rPr>
        <w:t xml:space="preserve">. </w:t>
      </w:r>
      <w:r w:rsidR="000232EC">
        <w:rPr>
          <w:lang w:val="en-GB" w:eastAsia="zh-CN"/>
        </w:rPr>
        <w:t xml:space="preserve">The serving cell measurements are the basis for </w:t>
      </w:r>
      <w:r w:rsidR="00F03739">
        <w:rPr>
          <w:lang w:val="en-GB" w:eastAsia="zh-CN"/>
        </w:rPr>
        <w:t>critical</w:t>
      </w:r>
      <w:r w:rsidR="000232EC">
        <w:rPr>
          <w:lang w:val="en-GB" w:eastAsia="zh-CN"/>
        </w:rPr>
        <w:t xml:space="preserve"> functions, i.e. it is proposed not to change</w:t>
      </w:r>
      <w:r w:rsidR="0059000A">
        <w:rPr>
          <w:lang w:val="en-GB" w:eastAsia="zh-CN"/>
        </w:rPr>
        <w:t>/relax</w:t>
      </w:r>
      <w:r w:rsidR="000232EC">
        <w:rPr>
          <w:lang w:val="en-GB" w:eastAsia="zh-CN"/>
        </w:rPr>
        <w:t xml:space="preserve"> the serving cell measurement requirements in NR. </w:t>
      </w:r>
      <w:r w:rsidR="000232EC">
        <w:rPr>
          <w:lang w:val="en-GB" w:eastAsia="zh-CN"/>
        </w:rPr>
        <w:lastRenderedPageBreak/>
        <w:t xml:space="preserve">Furthermore and perhaps most importantly, the UE </w:t>
      </w:r>
      <w:proofErr w:type="gramStart"/>
      <w:r w:rsidR="002233B5">
        <w:rPr>
          <w:lang w:val="en-GB" w:eastAsia="zh-CN"/>
        </w:rPr>
        <w:t>has to</w:t>
      </w:r>
      <w:proofErr w:type="gramEnd"/>
      <w:r w:rsidR="002233B5">
        <w:rPr>
          <w:lang w:val="en-GB" w:eastAsia="zh-CN"/>
        </w:rPr>
        <w:t xml:space="preserve"> wake to monitor paging every DRX cycle anyways, i.e. the expected power saving gains </w:t>
      </w:r>
      <w:r w:rsidR="008F0861">
        <w:rPr>
          <w:lang w:val="en-GB" w:eastAsia="zh-CN"/>
        </w:rPr>
        <w:t>to relax serving cell measurements are small</w:t>
      </w:r>
      <w:r w:rsidR="00BC35E0">
        <w:rPr>
          <w:lang w:val="en-GB" w:eastAsia="zh-CN"/>
        </w:rPr>
        <w:t xml:space="preserve">. The serving cell measurement requirements are captured in 38.133, i.e. </w:t>
      </w:r>
      <w:r w:rsidR="00292600">
        <w:rPr>
          <w:lang w:val="en-GB" w:eastAsia="zh-CN"/>
        </w:rPr>
        <w:t>these requirements are determined by RAN4:</w:t>
      </w:r>
      <w:r w:rsidR="008F0861">
        <w:rPr>
          <w:lang w:val="en-GB" w:eastAsia="zh-CN"/>
        </w:rPr>
        <w:t xml:space="preserve"> </w:t>
      </w:r>
    </w:p>
    <w:p w14:paraId="633DD4E9" w14:textId="6C061209" w:rsidR="00B66F5C" w:rsidRDefault="00B66F5C" w:rsidP="00B66F5C">
      <w:pPr>
        <w:rPr>
          <w:lang w:val="en-GB" w:eastAsia="zh-CN"/>
        </w:rPr>
      </w:pPr>
      <w:bookmarkStart w:id="3" w:name="_Toc242573360"/>
      <w:r w:rsidRPr="00B66F5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BC35E0">
        <w:rPr>
          <w:lang w:val="en-GB" w:eastAsia="zh-CN"/>
        </w:rPr>
        <w:t xml:space="preserve">The </w:t>
      </w:r>
      <w:r w:rsidR="00C32931">
        <w:rPr>
          <w:lang w:val="en-GB" w:eastAsia="zh-CN"/>
        </w:rPr>
        <w:t>serving cell measurement requirements in NR</w:t>
      </w:r>
      <w:r w:rsidR="00BC35E0">
        <w:rPr>
          <w:lang w:val="en-GB" w:eastAsia="zh-CN"/>
        </w:rPr>
        <w:t xml:space="preserve"> </w:t>
      </w:r>
      <w:r w:rsidR="00AA6AA1">
        <w:rPr>
          <w:lang w:val="en-GB" w:eastAsia="zh-CN"/>
        </w:rPr>
        <w:t>are not relaxed</w:t>
      </w:r>
      <w:r w:rsidR="00BC35E0">
        <w:rPr>
          <w:lang w:val="en-GB" w:eastAsia="zh-CN"/>
        </w:rPr>
        <w:t>.</w:t>
      </w:r>
    </w:p>
    <w:p w14:paraId="26929474" w14:textId="3C7DC3B1" w:rsidR="00636203" w:rsidRDefault="00636203" w:rsidP="00636203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Long</w:t>
      </w:r>
      <w:r w:rsidR="00E96F57">
        <w:rPr>
          <w:b/>
          <w:u w:val="single"/>
          <w:lang w:val="en-GB" w:eastAsia="zh-CN"/>
        </w:rPr>
        <w:t xml:space="preserve"> DRX cycle in Idle/Inactive mode</w:t>
      </w:r>
    </w:p>
    <w:p w14:paraId="40BF025A" w14:textId="6A21EBD3" w:rsidR="002C0E86" w:rsidRDefault="007A1AD3" w:rsidP="00636203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proofErr w:type="spellStart"/>
      <w:r w:rsidR="00C9680C" w:rsidRPr="00C9680C">
        <w:rPr>
          <w:i/>
        </w:rPr>
        <w:t>longDRX</w:t>
      </w:r>
      <w:proofErr w:type="spellEnd"/>
      <w:r w:rsidR="00C9680C" w:rsidRPr="00C9680C">
        <w:rPr>
          <w:i/>
        </w:rPr>
        <w:t>-Cycle</w:t>
      </w:r>
      <w:r w:rsidR="00C9680C">
        <w:t xml:space="preserve"> in connected mode can be up to 10 sec. </w:t>
      </w:r>
      <w:r w:rsidR="00495F9E">
        <w:t xml:space="preserve">As confirmed </w:t>
      </w:r>
      <w:r w:rsidR="00495F9E">
        <w:rPr>
          <w:lang w:val="en-GB" w:eastAsia="zh-CN"/>
        </w:rPr>
        <w:t xml:space="preserve">in the LS from SA2 concerning CIOT [1], there is no impact on CN paging to support a </w:t>
      </w:r>
      <w:r w:rsidR="007F1C1F">
        <w:rPr>
          <w:lang w:val="en-GB" w:eastAsia="zh-CN"/>
        </w:rPr>
        <w:t xml:space="preserve">DRX cycle up to 10 sec. </w:t>
      </w:r>
      <w:r w:rsidR="00FE7901">
        <w:rPr>
          <w:lang w:val="en-GB" w:eastAsia="zh-CN"/>
        </w:rPr>
        <w:t>There is a significant impact on the power consumption when the DRX cycle is doubled</w:t>
      </w:r>
      <w:r w:rsidR="00AA6AA1">
        <w:rPr>
          <w:lang w:val="en-GB" w:eastAsia="zh-CN"/>
        </w:rPr>
        <w:t>. B</w:t>
      </w:r>
      <w:r w:rsidR="00FE7901">
        <w:rPr>
          <w:lang w:val="en-GB" w:eastAsia="zh-CN"/>
        </w:rPr>
        <w:t>ut perhaps not every UE can tolerate</w:t>
      </w:r>
      <w:r w:rsidR="002C0E86">
        <w:rPr>
          <w:lang w:val="en-GB" w:eastAsia="zh-CN"/>
        </w:rPr>
        <w:t xml:space="preserve"> or prefers a DRX up to 10 sec. Therefore it is proposed to allow the NR UE to negotiate a UE specific </w:t>
      </w:r>
      <w:r w:rsidR="008F4E5D">
        <w:rPr>
          <w:lang w:val="en-GB" w:eastAsia="zh-CN"/>
        </w:rPr>
        <w:t xml:space="preserve">long </w:t>
      </w:r>
      <w:r w:rsidR="002C0E86">
        <w:rPr>
          <w:lang w:val="en-GB" w:eastAsia="zh-CN"/>
        </w:rPr>
        <w:t xml:space="preserve">DRX cycle via NAS up to 10 sec, and allow the UE to use the </w:t>
      </w:r>
      <w:r w:rsidR="009917F3">
        <w:rPr>
          <w:lang w:val="en-GB" w:eastAsia="zh-CN"/>
        </w:rPr>
        <w:t xml:space="preserve">negotiated UE specific DRX cycle (instead of the shortest of UE specific DRX cycle and the DRX cycle indicated in system information): </w:t>
      </w:r>
    </w:p>
    <w:p w14:paraId="1AE76AA7" w14:textId="266FBE52" w:rsidR="00636203" w:rsidRDefault="00B44F25" w:rsidP="00B66F5C">
      <w:pPr>
        <w:rPr>
          <w:lang w:val="en-GB" w:eastAsia="zh-CN"/>
        </w:rPr>
      </w:pPr>
      <w:bookmarkStart w:id="4" w:name="_GoBack"/>
      <w:r w:rsidRPr="00B66F5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RAN2 to study UE specific </w:t>
      </w:r>
      <w:proofErr w:type="spellStart"/>
      <w:r>
        <w:rPr>
          <w:lang w:val="en-GB" w:eastAsia="zh-CN"/>
        </w:rPr>
        <w:t>LongDRX</w:t>
      </w:r>
      <w:proofErr w:type="spellEnd"/>
      <w:r w:rsidR="0052424A">
        <w:rPr>
          <w:lang w:val="en-GB" w:eastAsia="zh-CN"/>
        </w:rPr>
        <w:t xml:space="preserve"> up to 10 seconds</w:t>
      </w:r>
      <w:r>
        <w:rPr>
          <w:lang w:val="en-GB" w:eastAsia="zh-CN"/>
        </w:rPr>
        <w:t xml:space="preserve"> in Idle/Inactive state</w:t>
      </w:r>
      <w:r w:rsidR="00AA6AA1">
        <w:rPr>
          <w:lang w:val="en-GB" w:eastAsia="zh-CN"/>
        </w:rPr>
        <w:t xml:space="preserve"> in NR.</w:t>
      </w:r>
    </w:p>
    <w:bookmarkEnd w:id="4"/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3"/>
    </w:p>
    <w:p w14:paraId="65B81F03" w14:textId="7642E904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7A0207">
        <w:t>r</w:t>
      </w:r>
      <w:r w:rsidR="00C97A58" w:rsidRPr="00C97A58">
        <w:t>elaxed RMM measurements in Idle mode</w:t>
      </w:r>
      <w:r>
        <w:t xml:space="preserve">: </w:t>
      </w:r>
    </w:p>
    <w:p w14:paraId="4D88D377" w14:textId="77777777" w:rsidR="002C2AE6" w:rsidRDefault="002C2AE6" w:rsidP="002C2AE6">
      <w:pPr>
        <w:rPr>
          <w:lang w:val="en-GB" w:eastAsia="zh-CN"/>
        </w:rPr>
      </w:pPr>
      <w:r w:rsidRPr="00B66F5C">
        <w:rPr>
          <w:b/>
          <w:lang w:val="en-GB" w:eastAsia="zh-CN"/>
        </w:rPr>
        <w:t>Proposal 1</w:t>
      </w:r>
      <w:r>
        <w:rPr>
          <w:lang w:val="en-GB" w:eastAsia="zh-CN"/>
        </w:rPr>
        <w:t>: RAN2 to evaluate the feasibility to relax the neighbour cell measurements for stationary NR UE in idle mode when it is below the measurement threshold.</w:t>
      </w:r>
    </w:p>
    <w:p w14:paraId="12831919" w14:textId="77777777" w:rsidR="00C42EF6" w:rsidRDefault="00C42EF6" w:rsidP="00C42EF6">
      <w:pPr>
        <w:rPr>
          <w:lang w:val="en-GB" w:eastAsia="zh-CN"/>
        </w:rPr>
      </w:pPr>
      <w:r w:rsidRPr="00B66F5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The serving cell measurement requirements in NR are not relaxed.</w:t>
      </w:r>
    </w:p>
    <w:p w14:paraId="345316B4" w14:textId="77777777" w:rsidR="0052424A" w:rsidRDefault="0052424A" w:rsidP="0052424A">
      <w:pPr>
        <w:rPr>
          <w:lang w:val="en-GB" w:eastAsia="zh-CN"/>
        </w:rPr>
      </w:pPr>
      <w:r w:rsidRPr="00B66F5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RAN2 to study UE specific </w:t>
      </w:r>
      <w:proofErr w:type="spellStart"/>
      <w:r>
        <w:rPr>
          <w:lang w:val="en-GB" w:eastAsia="zh-CN"/>
        </w:rPr>
        <w:t>LongDRX</w:t>
      </w:r>
      <w:proofErr w:type="spellEnd"/>
      <w:r>
        <w:rPr>
          <w:lang w:val="en-GB" w:eastAsia="zh-CN"/>
        </w:rPr>
        <w:t xml:space="preserve"> up to 10 seconds in Idle/Inactive state in NR.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506E4C73" w14:textId="0A8E3B6B" w:rsidR="00B44F25" w:rsidRPr="00B44F25" w:rsidRDefault="008F4E5D" w:rsidP="00B44F2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A365CE" w:rsidRPr="00B44F25">
          <w:rPr>
            <w:rStyle w:val="Hyperlink"/>
            <w:rFonts w:cs="Arial"/>
            <w:sz w:val="16"/>
            <w:szCs w:val="16"/>
            <w:lang w:val="de-DE"/>
          </w:rPr>
          <w:t>S2-1901343</w:t>
        </w:r>
      </w:hyperlink>
      <w:r w:rsidR="009F02FA" w:rsidRPr="00B44F25">
        <w:rPr>
          <w:rFonts w:cs="Arial"/>
          <w:sz w:val="16"/>
          <w:szCs w:val="16"/>
          <w:lang w:val="de-DE"/>
        </w:rPr>
        <w:t xml:space="preserve">, </w:t>
      </w:r>
      <w:r w:rsidR="00A365CE" w:rsidRPr="00B44F25">
        <w:rPr>
          <w:rFonts w:cs="Arial"/>
          <w:i/>
          <w:sz w:val="16"/>
          <w:szCs w:val="16"/>
          <w:lang w:val="de-DE"/>
        </w:rPr>
        <w:t>LS on eDRX cycles for CM-CONNECTED with RRC inactive</w:t>
      </w:r>
      <w:r w:rsidR="009F02FA" w:rsidRPr="00B44F25">
        <w:rPr>
          <w:rFonts w:cs="Arial"/>
          <w:i/>
          <w:sz w:val="16"/>
          <w:szCs w:val="16"/>
          <w:lang w:val="de-DE"/>
        </w:rPr>
        <w:t>,</w:t>
      </w:r>
      <w:r w:rsidR="009F02FA" w:rsidRPr="00B44F25">
        <w:rPr>
          <w:rFonts w:cs="Arial"/>
          <w:sz w:val="16"/>
          <w:szCs w:val="16"/>
          <w:lang w:val="de-DE"/>
        </w:rPr>
        <w:t xml:space="preserve"> </w:t>
      </w:r>
      <w:r w:rsidR="00B44F25" w:rsidRPr="00B44F25">
        <w:rPr>
          <w:rFonts w:cs="Arial"/>
          <w:sz w:val="16"/>
          <w:szCs w:val="16"/>
          <w:lang w:val="de-DE"/>
        </w:rPr>
        <w:t>LS out,</w:t>
      </w:r>
      <w:r w:rsidR="00B44F25" w:rsidRPr="00B44F25">
        <w:rPr>
          <w:sz w:val="16"/>
          <w:szCs w:val="16"/>
          <w:lang w:val="de-DE"/>
        </w:rPr>
        <w:t xml:space="preserve"> To: CT1, CT4, RAN2, SA2#130</w:t>
      </w:r>
    </w:p>
    <w:p w14:paraId="752D5396" w14:textId="77777777" w:rsidR="00A73020" w:rsidRPr="00A73020" w:rsidRDefault="00A73020" w:rsidP="00A73020">
      <w:pPr>
        <w:tabs>
          <w:tab w:val="num" w:pos="99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16"/>
          <w:szCs w:val="16"/>
        </w:rPr>
      </w:pPr>
    </w:p>
    <w:sectPr w:rsidR="00A73020" w:rsidRPr="00A73020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FDD8C" w14:textId="77777777" w:rsidR="00611CB4" w:rsidRDefault="00611CB4">
      <w:r>
        <w:separator/>
      </w:r>
    </w:p>
  </w:endnote>
  <w:endnote w:type="continuationSeparator" w:id="0">
    <w:p w14:paraId="79C1A3DE" w14:textId="77777777" w:rsidR="00611CB4" w:rsidRDefault="0061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4D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7AFC3" w14:textId="77777777" w:rsidR="00611CB4" w:rsidRDefault="00611CB4">
      <w:r>
        <w:separator/>
      </w:r>
    </w:p>
  </w:footnote>
  <w:footnote w:type="continuationSeparator" w:id="0">
    <w:p w14:paraId="0CB0C987" w14:textId="77777777" w:rsidR="00611CB4" w:rsidRDefault="00611CB4">
      <w:r>
        <w:continuationSeparator/>
      </w:r>
    </w:p>
  </w:footnote>
  <w:footnote w:id="1">
    <w:p w14:paraId="427EEAA2" w14:textId="1595D118" w:rsidR="00584B9A" w:rsidRPr="00584B9A" w:rsidRDefault="00584B9A">
      <w:pPr>
        <w:pStyle w:val="FootnoteText"/>
        <w:rPr>
          <w:rFonts w:ascii="Times New Roman" w:hAnsi="Times New Roman"/>
          <w:sz w:val="18"/>
          <w:szCs w:val="18"/>
          <w:lang w:val="en-GB"/>
        </w:rPr>
      </w:pPr>
      <w:r w:rsidRPr="00584B9A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584B9A">
        <w:rPr>
          <w:rFonts w:ascii="Times New Roman" w:hAnsi="Times New Roman"/>
          <w:sz w:val="18"/>
          <w:szCs w:val="18"/>
        </w:rPr>
        <w:t xml:space="preserve"> In NR the UE is required to measure the serving cell RSRP/RSRQ every DRX cycle, with a DRX cycle larger than 640 </w:t>
      </w:r>
      <w:proofErr w:type="spellStart"/>
      <w:r w:rsidRPr="00584B9A">
        <w:rPr>
          <w:rFonts w:ascii="Times New Roman" w:hAnsi="Times New Roman"/>
          <w:sz w:val="18"/>
          <w:szCs w:val="18"/>
        </w:rPr>
        <w:t>ms</w:t>
      </w:r>
      <w:proofErr w:type="spellEnd"/>
      <w:r w:rsidRPr="00584B9A">
        <w:rPr>
          <w:rFonts w:ascii="Times New Roman" w:hAnsi="Times New Roman"/>
          <w:sz w:val="18"/>
          <w:szCs w:val="18"/>
        </w:rPr>
        <w:t xml:space="preserve"> and SSB periodicity of 20 </w:t>
      </w:r>
      <w:proofErr w:type="spellStart"/>
      <w:r w:rsidRPr="00584B9A">
        <w:rPr>
          <w:rFonts w:ascii="Times New Roman" w:hAnsi="Times New Roman"/>
          <w:sz w:val="18"/>
          <w:szCs w:val="18"/>
        </w:rPr>
        <w:t>ms</w:t>
      </w:r>
      <w:proofErr w:type="spellEnd"/>
      <w:r w:rsidRPr="00584B9A">
        <w:rPr>
          <w:rFonts w:ascii="Times New Roman" w:hAnsi="Times New Roman"/>
          <w:sz w:val="18"/>
          <w:szCs w:val="18"/>
        </w:rPr>
        <w:t xml:space="preserve"> in FR1</w:t>
      </w:r>
      <w:r w:rsidR="00AA346E">
        <w:rPr>
          <w:rFonts w:ascii="Times New Roman" w:hAnsi="Times New Roman"/>
          <w:sz w:val="18"/>
          <w:szCs w:val="18"/>
        </w:rPr>
        <w:t xml:space="preserve"> (see</w:t>
      </w:r>
      <w:r w:rsidR="00B95703">
        <w:rPr>
          <w:rFonts w:ascii="Times New Roman" w:hAnsi="Times New Roman"/>
          <w:sz w:val="18"/>
          <w:szCs w:val="18"/>
        </w:rPr>
        <w:t xml:space="preserve"> chapter 4 in</w:t>
      </w:r>
      <w:r w:rsidR="00AA346E">
        <w:rPr>
          <w:rFonts w:ascii="Times New Roman" w:hAnsi="Times New Roman"/>
          <w:sz w:val="18"/>
          <w:szCs w:val="18"/>
        </w:rPr>
        <w:t xml:space="preserve"> 38.113)</w:t>
      </w:r>
      <w:r w:rsidRPr="00584B9A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E14DD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E6772"/>
    <w:multiLevelType w:val="hybridMultilevel"/>
    <w:tmpl w:val="9DE26AF2"/>
    <w:lvl w:ilvl="0" w:tplc="617C3D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64668C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83EF29E">
      <w:start w:val="11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3E66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2D4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47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B228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4839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6719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6114C"/>
    <w:multiLevelType w:val="hybridMultilevel"/>
    <w:tmpl w:val="910A9F12"/>
    <w:lvl w:ilvl="0" w:tplc="268C2D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0CEB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AA13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223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8EC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E3DD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ADE7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69D2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34B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18"/>
  </w:num>
  <w:num w:numId="4">
    <w:abstractNumId w:val="11"/>
  </w:num>
  <w:num w:numId="5">
    <w:abstractNumId w:val="36"/>
  </w:num>
  <w:num w:numId="6">
    <w:abstractNumId w:val="21"/>
  </w:num>
  <w:num w:numId="7">
    <w:abstractNumId w:val="33"/>
  </w:num>
  <w:num w:numId="8">
    <w:abstractNumId w:val="38"/>
  </w:num>
  <w:num w:numId="9">
    <w:abstractNumId w:val="14"/>
  </w:num>
  <w:num w:numId="10">
    <w:abstractNumId w:val="20"/>
  </w:num>
  <w:num w:numId="11">
    <w:abstractNumId w:val="17"/>
  </w:num>
  <w:num w:numId="12">
    <w:abstractNumId w:val="42"/>
  </w:num>
  <w:num w:numId="13">
    <w:abstractNumId w:val="15"/>
  </w:num>
  <w:num w:numId="14">
    <w:abstractNumId w:val="22"/>
  </w:num>
  <w:num w:numId="15">
    <w:abstractNumId w:val="37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6"/>
  </w:num>
  <w:num w:numId="29">
    <w:abstractNumId w:val="3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8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7"/>
  </w:num>
  <w:num w:numId="36">
    <w:abstractNumId w:val="26"/>
  </w:num>
  <w:num w:numId="37">
    <w:abstractNumId w:val="29"/>
  </w:num>
  <w:num w:numId="38">
    <w:abstractNumId w:val="32"/>
  </w:num>
  <w:num w:numId="39">
    <w:abstractNumId w:val="41"/>
  </w:num>
  <w:num w:numId="40">
    <w:abstractNumId w:val="34"/>
  </w:num>
  <w:num w:numId="41">
    <w:abstractNumId w:val="30"/>
  </w:num>
  <w:num w:numId="42">
    <w:abstractNumId w:val="12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00CC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32EC"/>
    <w:rsid w:val="000246C8"/>
    <w:rsid w:val="00027BEA"/>
    <w:rsid w:val="000343D3"/>
    <w:rsid w:val="000362CF"/>
    <w:rsid w:val="00041300"/>
    <w:rsid w:val="0004162A"/>
    <w:rsid w:val="000464BA"/>
    <w:rsid w:val="0004760F"/>
    <w:rsid w:val="00054991"/>
    <w:rsid w:val="000559F7"/>
    <w:rsid w:val="000566DC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2788"/>
    <w:rsid w:val="0008686B"/>
    <w:rsid w:val="00091289"/>
    <w:rsid w:val="00093D0A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0B0D"/>
    <w:rsid w:val="000C2CCE"/>
    <w:rsid w:val="000C3430"/>
    <w:rsid w:val="000C4330"/>
    <w:rsid w:val="000C60D7"/>
    <w:rsid w:val="000C6C63"/>
    <w:rsid w:val="000C78E8"/>
    <w:rsid w:val="000D1253"/>
    <w:rsid w:val="000D2C35"/>
    <w:rsid w:val="000E16DA"/>
    <w:rsid w:val="000E2DC8"/>
    <w:rsid w:val="000E47A9"/>
    <w:rsid w:val="000E6807"/>
    <w:rsid w:val="000F2D1B"/>
    <w:rsid w:val="000F443D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3FEA"/>
    <w:rsid w:val="00116F90"/>
    <w:rsid w:val="00116FEC"/>
    <w:rsid w:val="00120851"/>
    <w:rsid w:val="00120D47"/>
    <w:rsid w:val="00122AD2"/>
    <w:rsid w:val="00127D2C"/>
    <w:rsid w:val="001308CD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2917"/>
    <w:rsid w:val="00162097"/>
    <w:rsid w:val="00164767"/>
    <w:rsid w:val="001648FB"/>
    <w:rsid w:val="001659F2"/>
    <w:rsid w:val="00172C20"/>
    <w:rsid w:val="0018431E"/>
    <w:rsid w:val="001845B1"/>
    <w:rsid w:val="001913AF"/>
    <w:rsid w:val="00191C5C"/>
    <w:rsid w:val="001924EE"/>
    <w:rsid w:val="00192610"/>
    <w:rsid w:val="00194E7F"/>
    <w:rsid w:val="001A0471"/>
    <w:rsid w:val="001A20CC"/>
    <w:rsid w:val="001A241E"/>
    <w:rsid w:val="001A3300"/>
    <w:rsid w:val="001A7903"/>
    <w:rsid w:val="001A7BB7"/>
    <w:rsid w:val="001B1926"/>
    <w:rsid w:val="001B241A"/>
    <w:rsid w:val="001B37B2"/>
    <w:rsid w:val="001B5A6D"/>
    <w:rsid w:val="001C0ADE"/>
    <w:rsid w:val="001C40D6"/>
    <w:rsid w:val="001C6BCF"/>
    <w:rsid w:val="001D01C0"/>
    <w:rsid w:val="001D2D82"/>
    <w:rsid w:val="001D5744"/>
    <w:rsid w:val="001D5EC7"/>
    <w:rsid w:val="001E6A9C"/>
    <w:rsid w:val="001F13E9"/>
    <w:rsid w:val="001F5047"/>
    <w:rsid w:val="001F5CA1"/>
    <w:rsid w:val="002013B3"/>
    <w:rsid w:val="002114D0"/>
    <w:rsid w:val="00211629"/>
    <w:rsid w:val="00212767"/>
    <w:rsid w:val="002129BC"/>
    <w:rsid w:val="00215AB2"/>
    <w:rsid w:val="00217ECC"/>
    <w:rsid w:val="002233B5"/>
    <w:rsid w:val="00225E2B"/>
    <w:rsid w:val="002267C4"/>
    <w:rsid w:val="00226C55"/>
    <w:rsid w:val="00227B15"/>
    <w:rsid w:val="0023429F"/>
    <w:rsid w:val="00236881"/>
    <w:rsid w:val="00237F9F"/>
    <w:rsid w:val="00241371"/>
    <w:rsid w:val="00241971"/>
    <w:rsid w:val="00244267"/>
    <w:rsid w:val="00250587"/>
    <w:rsid w:val="00260EC7"/>
    <w:rsid w:val="00260F45"/>
    <w:rsid w:val="002626A5"/>
    <w:rsid w:val="00270175"/>
    <w:rsid w:val="002733D0"/>
    <w:rsid w:val="00273C32"/>
    <w:rsid w:val="00274E81"/>
    <w:rsid w:val="00275586"/>
    <w:rsid w:val="00281BCA"/>
    <w:rsid w:val="00283532"/>
    <w:rsid w:val="00283E2E"/>
    <w:rsid w:val="00286831"/>
    <w:rsid w:val="0028711E"/>
    <w:rsid w:val="00290477"/>
    <w:rsid w:val="00292600"/>
    <w:rsid w:val="00295270"/>
    <w:rsid w:val="00297106"/>
    <w:rsid w:val="002971AA"/>
    <w:rsid w:val="00297BFE"/>
    <w:rsid w:val="002A16F8"/>
    <w:rsid w:val="002A2E7B"/>
    <w:rsid w:val="002A70F0"/>
    <w:rsid w:val="002B1EE7"/>
    <w:rsid w:val="002C0E86"/>
    <w:rsid w:val="002C1EF6"/>
    <w:rsid w:val="002C2AE6"/>
    <w:rsid w:val="002C4082"/>
    <w:rsid w:val="002C6AEE"/>
    <w:rsid w:val="002D2EEE"/>
    <w:rsid w:val="002D599B"/>
    <w:rsid w:val="002E0414"/>
    <w:rsid w:val="002E083F"/>
    <w:rsid w:val="002E1A79"/>
    <w:rsid w:val="002E1BFA"/>
    <w:rsid w:val="002E4760"/>
    <w:rsid w:val="002F08D2"/>
    <w:rsid w:val="002F3825"/>
    <w:rsid w:val="002F4578"/>
    <w:rsid w:val="002F703D"/>
    <w:rsid w:val="00303F59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456F6"/>
    <w:rsid w:val="00352BFE"/>
    <w:rsid w:val="0035547C"/>
    <w:rsid w:val="00356249"/>
    <w:rsid w:val="00361092"/>
    <w:rsid w:val="003730EF"/>
    <w:rsid w:val="0037552C"/>
    <w:rsid w:val="0037629E"/>
    <w:rsid w:val="0037719E"/>
    <w:rsid w:val="00383177"/>
    <w:rsid w:val="00393247"/>
    <w:rsid w:val="00393D91"/>
    <w:rsid w:val="00395015"/>
    <w:rsid w:val="003A5C51"/>
    <w:rsid w:val="003B5ABE"/>
    <w:rsid w:val="003B5CD6"/>
    <w:rsid w:val="003C1556"/>
    <w:rsid w:val="003C1C5D"/>
    <w:rsid w:val="003C3677"/>
    <w:rsid w:val="003D09AA"/>
    <w:rsid w:val="003D2C70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3ED"/>
    <w:rsid w:val="00403769"/>
    <w:rsid w:val="004060FF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32CCD"/>
    <w:rsid w:val="00432CE1"/>
    <w:rsid w:val="00433E84"/>
    <w:rsid w:val="00434E88"/>
    <w:rsid w:val="0043515D"/>
    <w:rsid w:val="0043788C"/>
    <w:rsid w:val="00444F15"/>
    <w:rsid w:val="00445733"/>
    <w:rsid w:val="00445F25"/>
    <w:rsid w:val="00445FD8"/>
    <w:rsid w:val="00446BDF"/>
    <w:rsid w:val="00447C05"/>
    <w:rsid w:val="00451134"/>
    <w:rsid w:val="00451A3A"/>
    <w:rsid w:val="00455C91"/>
    <w:rsid w:val="00455D4D"/>
    <w:rsid w:val="00462E26"/>
    <w:rsid w:val="00465DAE"/>
    <w:rsid w:val="004661AB"/>
    <w:rsid w:val="00467F01"/>
    <w:rsid w:val="0047097D"/>
    <w:rsid w:val="00471F0A"/>
    <w:rsid w:val="0047506D"/>
    <w:rsid w:val="004779BF"/>
    <w:rsid w:val="00482878"/>
    <w:rsid w:val="0048287D"/>
    <w:rsid w:val="0048475F"/>
    <w:rsid w:val="00491971"/>
    <w:rsid w:val="00495F9E"/>
    <w:rsid w:val="004976F2"/>
    <w:rsid w:val="004A2A5F"/>
    <w:rsid w:val="004A5FD9"/>
    <w:rsid w:val="004A7071"/>
    <w:rsid w:val="004B0216"/>
    <w:rsid w:val="004B10DE"/>
    <w:rsid w:val="004B17E2"/>
    <w:rsid w:val="004B4D17"/>
    <w:rsid w:val="004B6AA1"/>
    <w:rsid w:val="004C18C0"/>
    <w:rsid w:val="004C2F61"/>
    <w:rsid w:val="004C38C3"/>
    <w:rsid w:val="004C563D"/>
    <w:rsid w:val="004C7383"/>
    <w:rsid w:val="004C74AF"/>
    <w:rsid w:val="004D10CC"/>
    <w:rsid w:val="004D1CEB"/>
    <w:rsid w:val="004D2FD4"/>
    <w:rsid w:val="004D35AD"/>
    <w:rsid w:val="004E002D"/>
    <w:rsid w:val="004E135B"/>
    <w:rsid w:val="004E26A8"/>
    <w:rsid w:val="004E2910"/>
    <w:rsid w:val="004E4674"/>
    <w:rsid w:val="004E513E"/>
    <w:rsid w:val="004E548A"/>
    <w:rsid w:val="004F3976"/>
    <w:rsid w:val="004F4854"/>
    <w:rsid w:val="004F6067"/>
    <w:rsid w:val="004F62E1"/>
    <w:rsid w:val="00500714"/>
    <w:rsid w:val="00500BEC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1BFD"/>
    <w:rsid w:val="0052219A"/>
    <w:rsid w:val="00522CAB"/>
    <w:rsid w:val="005241C8"/>
    <w:rsid w:val="0052424A"/>
    <w:rsid w:val="0052581A"/>
    <w:rsid w:val="00532DB1"/>
    <w:rsid w:val="00533481"/>
    <w:rsid w:val="00533892"/>
    <w:rsid w:val="005406B8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4B9A"/>
    <w:rsid w:val="00585607"/>
    <w:rsid w:val="0059000A"/>
    <w:rsid w:val="00593BA2"/>
    <w:rsid w:val="00594CE5"/>
    <w:rsid w:val="005950C4"/>
    <w:rsid w:val="005A10D4"/>
    <w:rsid w:val="005A4001"/>
    <w:rsid w:val="005B075A"/>
    <w:rsid w:val="005B0E5B"/>
    <w:rsid w:val="005B4719"/>
    <w:rsid w:val="005B4B64"/>
    <w:rsid w:val="005B7E9E"/>
    <w:rsid w:val="005C098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0FE0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1CB4"/>
    <w:rsid w:val="00620158"/>
    <w:rsid w:val="00625D92"/>
    <w:rsid w:val="00625E30"/>
    <w:rsid w:val="00630BF2"/>
    <w:rsid w:val="006326B2"/>
    <w:rsid w:val="006339DA"/>
    <w:rsid w:val="00634B5D"/>
    <w:rsid w:val="00636203"/>
    <w:rsid w:val="00643F10"/>
    <w:rsid w:val="006449C9"/>
    <w:rsid w:val="00647526"/>
    <w:rsid w:val="0065698D"/>
    <w:rsid w:val="00657C7A"/>
    <w:rsid w:val="0066119A"/>
    <w:rsid w:val="00661CD5"/>
    <w:rsid w:val="00664529"/>
    <w:rsid w:val="00666EB6"/>
    <w:rsid w:val="006677BB"/>
    <w:rsid w:val="0067133E"/>
    <w:rsid w:val="006731F3"/>
    <w:rsid w:val="006763E9"/>
    <w:rsid w:val="00676DAD"/>
    <w:rsid w:val="00682662"/>
    <w:rsid w:val="00682DEF"/>
    <w:rsid w:val="00683510"/>
    <w:rsid w:val="00685EC0"/>
    <w:rsid w:val="0068794B"/>
    <w:rsid w:val="00690466"/>
    <w:rsid w:val="00691624"/>
    <w:rsid w:val="00691AA7"/>
    <w:rsid w:val="00695846"/>
    <w:rsid w:val="006A1E47"/>
    <w:rsid w:val="006A3181"/>
    <w:rsid w:val="006A39AE"/>
    <w:rsid w:val="006A6639"/>
    <w:rsid w:val="006B5B69"/>
    <w:rsid w:val="006B5BD4"/>
    <w:rsid w:val="006B6B15"/>
    <w:rsid w:val="006B7CFA"/>
    <w:rsid w:val="006C20C4"/>
    <w:rsid w:val="006C7C34"/>
    <w:rsid w:val="006D151A"/>
    <w:rsid w:val="006D1813"/>
    <w:rsid w:val="006D5962"/>
    <w:rsid w:val="006E02A5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236"/>
    <w:rsid w:val="00717D75"/>
    <w:rsid w:val="007215C8"/>
    <w:rsid w:val="00725A44"/>
    <w:rsid w:val="007269ED"/>
    <w:rsid w:val="00730790"/>
    <w:rsid w:val="0073304A"/>
    <w:rsid w:val="00733FF8"/>
    <w:rsid w:val="00734D32"/>
    <w:rsid w:val="00736176"/>
    <w:rsid w:val="00736603"/>
    <w:rsid w:val="00740114"/>
    <w:rsid w:val="007408D3"/>
    <w:rsid w:val="00745917"/>
    <w:rsid w:val="00750C89"/>
    <w:rsid w:val="00750D3B"/>
    <w:rsid w:val="00755199"/>
    <w:rsid w:val="00764CCE"/>
    <w:rsid w:val="00767213"/>
    <w:rsid w:val="007708EB"/>
    <w:rsid w:val="0077286C"/>
    <w:rsid w:val="00773DC4"/>
    <w:rsid w:val="00776F25"/>
    <w:rsid w:val="00782D8E"/>
    <w:rsid w:val="007837C7"/>
    <w:rsid w:val="00783D00"/>
    <w:rsid w:val="00787E14"/>
    <w:rsid w:val="00797CEE"/>
    <w:rsid w:val="007A0207"/>
    <w:rsid w:val="007A1AD3"/>
    <w:rsid w:val="007A2BC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1C1F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65FA8"/>
    <w:rsid w:val="00873F7D"/>
    <w:rsid w:val="008751B4"/>
    <w:rsid w:val="00876ABB"/>
    <w:rsid w:val="00881FAA"/>
    <w:rsid w:val="00882664"/>
    <w:rsid w:val="00884CFA"/>
    <w:rsid w:val="00887CFE"/>
    <w:rsid w:val="00890AD6"/>
    <w:rsid w:val="00892BE1"/>
    <w:rsid w:val="00892FED"/>
    <w:rsid w:val="0089369E"/>
    <w:rsid w:val="0089383E"/>
    <w:rsid w:val="00895B54"/>
    <w:rsid w:val="0089695F"/>
    <w:rsid w:val="008A5D84"/>
    <w:rsid w:val="008B36BD"/>
    <w:rsid w:val="008B5761"/>
    <w:rsid w:val="008C226A"/>
    <w:rsid w:val="008C3CEF"/>
    <w:rsid w:val="008C3DE9"/>
    <w:rsid w:val="008C4571"/>
    <w:rsid w:val="008C48B7"/>
    <w:rsid w:val="008C5D0F"/>
    <w:rsid w:val="008D1E69"/>
    <w:rsid w:val="008D29D3"/>
    <w:rsid w:val="008D2E9B"/>
    <w:rsid w:val="008D511C"/>
    <w:rsid w:val="008E0B00"/>
    <w:rsid w:val="008E1744"/>
    <w:rsid w:val="008E251D"/>
    <w:rsid w:val="008E3345"/>
    <w:rsid w:val="008E6A80"/>
    <w:rsid w:val="008E78DC"/>
    <w:rsid w:val="008F0861"/>
    <w:rsid w:val="008F14F7"/>
    <w:rsid w:val="008F4E5D"/>
    <w:rsid w:val="008F7D64"/>
    <w:rsid w:val="0090043B"/>
    <w:rsid w:val="0090215C"/>
    <w:rsid w:val="00910638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4B8C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0FA"/>
    <w:rsid w:val="00965FE1"/>
    <w:rsid w:val="009661B0"/>
    <w:rsid w:val="00966569"/>
    <w:rsid w:val="00966906"/>
    <w:rsid w:val="009669EC"/>
    <w:rsid w:val="00967CC9"/>
    <w:rsid w:val="00972AAC"/>
    <w:rsid w:val="00975516"/>
    <w:rsid w:val="0097698C"/>
    <w:rsid w:val="00977BBB"/>
    <w:rsid w:val="00985517"/>
    <w:rsid w:val="00985612"/>
    <w:rsid w:val="009917F3"/>
    <w:rsid w:val="009938ED"/>
    <w:rsid w:val="009A041E"/>
    <w:rsid w:val="009A0FD5"/>
    <w:rsid w:val="009A41A2"/>
    <w:rsid w:val="009B6DCE"/>
    <w:rsid w:val="009B7330"/>
    <w:rsid w:val="009C088B"/>
    <w:rsid w:val="009C0954"/>
    <w:rsid w:val="009C0ACC"/>
    <w:rsid w:val="009C38E7"/>
    <w:rsid w:val="009C6E39"/>
    <w:rsid w:val="009D11CF"/>
    <w:rsid w:val="009D3D40"/>
    <w:rsid w:val="009D4DBA"/>
    <w:rsid w:val="009D6008"/>
    <w:rsid w:val="009D725A"/>
    <w:rsid w:val="009E0D6B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9E1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365CE"/>
    <w:rsid w:val="00A4131F"/>
    <w:rsid w:val="00A415F5"/>
    <w:rsid w:val="00A42B69"/>
    <w:rsid w:val="00A50249"/>
    <w:rsid w:val="00A51688"/>
    <w:rsid w:val="00A51B8D"/>
    <w:rsid w:val="00A54A0E"/>
    <w:rsid w:val="00A557CB"/>
    <w:rsid w:val="00A56BF6"/>
    <w:rsid w:val="00A57FD4"/>
    <w:rsid w:val="00A60281"/>
    <w:rsid w:val="00A60877"/>
    <w:rsid w:val="00A611FD"/>
    <w:rsid w:val="00A612B3"/>
    <w:rsid w:val="00A61A6E"/>
    <w:rsid w:val="00A62738"/>
    <w:rsid w:val="00A64957"/>
    <w:rsid w:val="00A679CD"/>
    <w:rsid w:val="00A67B53"/>
    <w:rsid w:val="00A70266"/>
    <w:rsid w:val="00A73020"/>
    <w:rsid w:val="00A7695D"/>
    <w:rsid w:val="00A769F6"/>
    <w:rsid w:val="00A77047"/>
    <w:rsid w:val="00A8485B"/>
    <w:rsid w:val="00A87D00"/>
    <w:rsid w:val="00A904E2"/>
    <w:rsid w:val="00A91674"/>
    <w:rsid w:val="00A92227"/>
    <w:rsid w:val="00A9376D"/>
    <w:rsid w:val="00AA346E"/>
    <w:rsid w:val="00AA36EE"/>
    <w:rsid w:val="00AA60EA"/>
    <w:rsid w:val="00AA61B3"/>
    <w:rsid w:val="00AA6AA1"/>
    <w:rsid w:val="00AA7495"/>
    <w:rsid w:val="00AB16DC"/>
    <w:rsid w:val="00AB5F1A"/>
    <w:rsid w:val="00AB6883"/>
    <w:rsid w:val="00AB6F51"/>
    <w:rsid w:val="00AB701F"/>
    <w:rsid w:val="00AC0E27"/>
    <w:rsid w:val="00AC2988"/>
    <w:rsid w:val="00AC59FF"/>
    <w:rsid w:val="00AC63CE"/>
    <w:rsid w:val="00AC644A"/>
    <w:rsid w:val="00AD27AB"/>
    <w:rsid w:val="00AD4B91"/>
    <w:rsid w:val="00AE052B"/>
    <w:rsid w:val="00AE2080"/>
    <w:rsid w:val="00AE55BF"/>
    <w:rsid w:val="00AE5716"/>
    <w:rsid w:val="00AE57F7"/>
    <w:rsid w:val="00AE7718"/>
    <w:rsid w:val="00AF188F"/>
    <w:rsid w:val="00AF5EB7"/>
    <w:rsid w:val="00AF6208"/>
    <w:rsid w:val="00AF71DD"/>
    <w:rsid w:val="00B04F39"/>
    <w:rsid w:val="00B13B51"/>
    <w:rsid w:val="00B23E56"/>
    <w:rsid w:val="00B250D5"/>
    <w:rsid w:val="00B25E72"/>
    <w:rsid w:val="00B26CFB"/>
    <w:rsid w:val="00B32D49"/>
    <w:rsid w:val="00B418CC"/>
    <w:rsid w:val="00B4455E"/>
    <w:rsid w:val="00B4464E"/>
    <w:rsid w:val="00B44CFE"/>
    <w:rsid w:val="00B44F25"/>
    <w:rsid w:val="00B46189"/>
    <w:rsid w:val="00B52E2A"/>
    <w:rsid w:val="00B53728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6F5C"/>
    <w:rsid w:val="00B701C2"/>
    <w:rsid w:val="00B71D9F"/>
    <w:rsid w:val="00B73D08"/>
    <w:rsid w:val="00B77417"/>
    <w:rsid w:val="00B843DF"/>
    <w:rsid w:val="00B84758"/>
    <w:rsid w:val="00B85A59"/>
    <w:rsid w:val="00B90FBD"/>
    <w:rsid w:val="00B92FD5"/>
    <w:rsid w:val="00B93A99"/>
    <w:rsid w:val="00B94AB5"/>
    <w:rsid w:val="00B95703"/>
    <w:rsid w:val="00B95CD3"/>
    <w:rsid w:val="00B9710B"/>
    <w:rsid w:val="00BA1E62"/>
    <w:rsid w:val="00BA633E"/>
    <w:rsid w:val="00BB39E9"/>
    <w:rsid w:val="00BB707D"/>
    <w:rsid w:val="00BC02B0"/>
    <w:rsid w:val="00BC1CCC"/>
    <w:rsid w:val="00BC35E0"/>
    <w:rsid w:val="00BC740F"/>
    <w:rsid w:val="00BD0CC3"/>
    <w:rsid w:val="00BD12AC"/>
    <w:rsid w:val="00BD34F9"/>
    <w:rsid w:val="00BD3F22"/>
    <w:rsid w:val="00BD4DEF"/>
    <w:rsid w:val="00BD57B1"/>
    <w:rsid w:val="00BD5C5A"/>
    <w:rsid w:val="00BD64D2"/>
    <w:rsid w:val="00BE4B38"/>
    <w:rsid w:val="00BE4D1B"/>
    <w:rsid w:val="00BF1EF5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1882"/>
    <w:rsid w:val="00C32931"/>
    <w:rsid w:val="00C35252"/>
    <w:rsid w:val="00C36420"/>
    <w:rsid w:val="00C36C06"/>
    <w:rsid w:val="00C41466"/>
    <w:rsid w:val="00C42EF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05A"/>
    <w:rsid w:val="00C827E0"/>
    <w:rsid w:val="00C953B2"/>
    <w:rsid w:val="00C9680C"/>
    <w:rsid w:val="00C96A72"/>
    <w:rsid w:val="00C9729B"/>
    <w:rsid w:val="00C97A58"/>
    <w:rsid w:val="00CA1C76"/>
    <w:rsid w:val="00CA280A"/>
    <w:rsid w:val="00CA315B"/>
    <w:rsid w:val="00CB12E3"/>
    <w:rsid w:val="00CB1753"/>
    <w:rsid w:val="00CB2E5D"/>
    <w:rsid w:val="00CB4F64"/>
    <w:rsid w:val="00CC00D8"/>
    <w:rsid w:val="00CC1F1A"/>
    <w:rsid w:val="00CC2C63"/>
    <w:rsid w:val="00CC308A"/>
    <w:rsid w:val="00CC5C27"/>
    <w:rsid w:val="00CC6376"/>
    <w:rsid w:val="00CD0435"/>
    <w:rsid w:val="00CD065D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43AF"/>
    <w:rsid w:val="00D15489"/>
    <w:rsid w:val="00D15C2B"/>
    <w:rsid w:val="00D17AE2"/>
    <w:rsid w:val="00D205FF"/>
    <w:rsid w:val="00D22BA9"/>
    <w:rsid w:val="00D23618"/>
    <w:rsid w:val="00D26468"/>
    <w:rsid w:val="00D3011B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1CBC"/>
    <w:rsid w:val="00D63F57"/>
    <w:rsid w:val="00D64441"/>
    <w:rsid w:val="00D74E12"/>
    <w:rsid w:val="00D81F6F"/>
    <w:rsid w:val="00D82E74"/>
    <w:rsid w:val="00D82FB5"/>
    <w:rsid w:val="00D87E71"/>
    <w:rsid w:val="00D87F0D"/>
    <w:rsid w:val="00D92185"/>
    <w:rsid w:val="00D936ED"/>
    <w:rsid w:val="00D95D58"/>
    <w:rsid w:val="00D97D81"/>
    <w:rsid w:val="00DA42FF"/>
    <w:rsid w:val="00DA6167"/>
    <w:rsid w:val="00DB3835"/>
    <w:rsid w:val="00DB4026"/>
    <w:rsid w:val="00DB4F7D"/>
    <w:rsid w:val="00DB5BC6"/>
    <w:rsid w:val="00DB66D3"/>
    <w:rsid w:val="00DC1553"/>
    <w:rsid w:val="00DC6119"/>
    <w:rsid w:val="00DD43B0"/>
    <w:rsid w:val="00DD5520"/>
    <w:rsid w:val="00DD7378"/>
    <w:rsid w:val="00DE27BC"/>
    <w:rsid w:val="00DE5650"/>
    <w:rsid w:val="00DE6127"/>
    <w:rsid w:val="00DE67D0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256B7"/>
    <w:rsid w:val="00E303EE"/>
    <w:rsid w:val="00E321A5"/>
    <w:rsid w:val="00E331C0"/>
    <w:rsid w:val="00E34134"/>
    <w:rsid w:val="00E34263"/>
    <w:rsid w:val="00E35947"/>
    <w:rsid w:val="00E36CB2"/>
    <w:rsid w:val="00E40267"/>
    <w:rsid w:val="00E40F04"/>
    <w:rsid w:val="00E4114E"/>
    <w:rsid w:val="00E42D7E"/>
    <w:rsid w:val="00E4685A"/>
    <w:rsid w:val="00E46AF8"/>
    <w:rsid w:val="00E47D4D"/>
    <w:rsid w:val="00E47F6A"/>
    <w:rsid w:val="00E53A7E"/>
    <w:rsid w:val="00E558C9"/>
    <w:rsid w:val="00E63B32"/>
    <w:rsid w:val="00E64E02"/>
    <w:rsid w:val="00E6616F"/>
    <w:rsid w:val="00E7005F"/>
    <w:rsid w:val="00E735C3"/>
    <w:rsid w:val="00E75367"/>
    <w:rsid w:val="00E76059"/>
    <w:rsid w:val="00E852A2"/>
    <w:rsid w:val="00E87830"/>
    <w:rsid w:val="00E92C32"/>
    <w:rsid w:val="00E95697"/>
    <w:rsid w:val="00E95D22"/>
    <w:rsid w:val="00E96F57"/>
    <w:rsid w:val="00EA29F3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2EC8"/>
    <w:rsid w:val="00EF3564"/>
    <w:rsid w:val="00EF3F7D"/>
    <w:rsid w:val="00EF6C58"/>
    <w:rsid w:val="00F03739"/>
    <w:rsid w:val="00F0507B"/>
    <w:rsid w:val="00F06A51"/>
    <w:rsid w:val="00F10A35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75"/>
    <w:rsid w:val="00F342CC"/>
    <w:rsid w:val="00F40933"/>
    <w:rsid w:val="00F42E1E"/>
    <w:rsid w:val="00F44D0D"/>
    <w:rsid w:val="00F504A7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064"/>
    <w:rsid w:val="00FA7C74"/>
    <w:rsid w:val="00FB00A5"/>
    <w:rsid w:val="00FB022C"/>
    <w:rsid w:val="00FB163D"/>
    <w:rsid w:val="00FB3892"/>
    <w:rsid w:val="00FB4C7C"/>
    <w:rsid w:val="00FC118E"/>
    <w:rsid w:val="00FC1207"/>
    <w:rsid w:val="00FC2706"/>
    <w:rsid w:val="00FC4BB5"/>
    <w:rsid w:val="00FC525B"/>
    <w:rsid w:val="00FD01AC"/>
    <w:rsid w:val="00FD1C75"/>
    <w:rsid w:val="00FD21BC"/>
    <w:rsid w:val="00FD304B"/>
    <w:rsid w:val="00FD6774"/>
    <w:rsid w:val="00FE4DB2"/>
    <w:rsid w:val="00FE7901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AC">
    <w:name w:val="TAC"/>
    <w:basedOn w:val="Normal"/>
    <w:link w:val="TACChar"/>
    <w:rsid w:val="00A7302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A73020"/>
    <w:rPr>
      <w:rFonts w:ascii="Arial" w:eastAsia="Times New Roman" w:hAnsi="Arial"/>
      <w:sz w:val="18"/>
      <w:lang w:eastAsia="ko-KR"/>
    </w:rPr>
  </w:style>
  <w:style w:type="paragraph" w:customStyle="1" w:styleId="TH">
    <w:name w:val="TH"/>
    <w:basedOn w:val="Normal"/>
    <w:link w:val="THChar"/>
    <w:rsid w:val="00A7302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en-GB" w:eastAsia="ko-KR"/>
    </w:rPr>
  </w:style>
  <w:style w:type="character" w:customStyle="1" w:styleId="THChar">
    <w:name w:val="TH Char"/>
    <w:link w:val="TH"/>
    <w:rsid w:val="00A73020"/>
    <w:rPr>
      <w:rFonts w:ascii="Arial" w:eastAsia="Times New Roman" w:hAnsi="Arial"/>
      <w:b/>
      <w:lang w:eastAsia="ko-KR"/>
    </w:rPr>
  </w:style>
  <w:style w:type="paragraph" w:customStyle="1" w:styleId="TAH">
    <w:name w:val="TAH"/>
    <w:basedOn w:val="TAC"/>
    <w:link w:val="TAHCar"/>
    <w:rsid w:val="00A73020"/>
    <w:rPr>
      <w:b/>
    </w:rPr>
  </w:style>
  <w:style w:type="character" w:customStyle="1" w:styleId="TAHCar">
    <w:name w:val="TAH Car"/>
    <w:link w:val="TAH"/>
    <w:qFormat/>
    <w:rsid w:val="00A73020"/>
    <w:rPr>
      <w:rFonts w:ascii="Arial" w:eastAsia="Times New Roman" w:hAnsi="Arial"/>
      <w:b/>
      <w:sz w:val="18"/>
      <w:lang w:eastAsia="ko-KR"/>
    </w:rPr>
  </w:style>
  <w:style w:type="paragraph" w:customStyle="1" w:styleId="TAN">
    <w:name w:val="TAN"/>
    <w:basedOn w:val="Normal"/>
    <w:link w:val="TANChar"/>
    <w:rsid w:val="00A7302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eastAsia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A73020"/>
    <w:rPr>
      <w:rFonts w:ascii="Arial" w:eastAsia="Times New Roman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2071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806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7290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7796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476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2265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9377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4588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29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030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381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0827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661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2495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0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0555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445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058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15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3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7155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603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8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460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5267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2_Arch//TSGS2_130_Kochi/Docs/S2-19013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F8D03-E9C0-462C-BB97-13A7C64B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45</cp:revision>
  <cp:lastPrinted>2009-10-21T14:47:00Z</cp:lastPrinted>
  <dcterms:created xsi:type="dcterms:W3CDTF">2019-02-11T07:23:00Z</dcterms:created>
  <dcterms:modified xsi:type="dcterms:W3CDTF">2019-02-15T04:32:00Z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